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A51E2" w14:textId="77777777" w:rsidR="00F33FDE" w:rsidRDefault="00F74668">
      <w:pPr>
        <w:pStyle w:val="Teksttreci1"/>
        <w:shd w:val="clear" w:color="auto" w:fill="auto"/>
        <w:spacing w:after="66" w:line="269" w:lineRule="exact"/>
        <w:ind w:left="60" w:right="20" w:firstLine="0"/>
        <w:jc w:val="both"/>
        <w:rPr>
          <w:color w:val="000000"/>
          <w:sz w:val="20"/>
          <w:szCs w:val="20"/>
        </w:rPr>
      </w:pPr>
      <w:r>
        <w:rPr>
          <w:rStyle w:val="Teksttreci"/>
          <w:color w:val="000000"/>
          <w:sz w:val="20"/>
          <w:szCs w:val="20"/>
        </w:rPr>
        <w:t>Ubezpieczenia wskazane § 26 Umowy będą spełniały następujące warunki, w tym wymagania wskazane w Tabelach nr 1 i 2:</w:t>
      </w:r>
    </w:p>
    <w:p w14:paraId="219452B9"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Ubezpieczenie odpowiedzialności cywilnej, o którym mowa w § 26, ust. 1 pkt 1) Umowy, będzie spełniało, co najmniej warunki określone w poniższej Tabeli nr 1.</w:t>
      </w:r>
    </w:p>
    <w:p w14:paraId="5236545B"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Ubezpieczenia obowiązkowe, o których mowa w § 26 ust. 1 pkt 2) Umowy będą spełniały warunki określone we właściwych przepisach prawa.</w:t>
      </w:r>
    </w:p>
    <w:p w14:paraId="094EF609"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Ubezpieczenie mienia w transporcie (CARGO), o którym mowa w § 26 ust. 1 pkt 3) Umowy, będzie spełniało, co najmniej warunki określone w Tabeli nr 2.</w:t>
      </w:r>
    </w:p>
    <w:p w14:paraId="35417BFB"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Zmiany warunków ubezpieczenia określonych w niniejszym Załączniku Tabela nr 1 i 2, które skutkują niespełnianiem minimalnych wymogów określonych w Umowie, Wykonawca może dokonać w okresie realizacji Umowy jedynie za uprzednią zgodą Zamawiającego.</w:t>
      </w:r>
    </w:p>
    <w:p w14:paraId="2C3E1551"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Jeżeli wypełnienie przez Wykonawcę wymogów określonych w niniejszym Załączniku nie jest możliwe ze względu na zachodzące zmiany na rynku ubezpieczeń lub brak możliwości zakupu takiej ochrony ubezpieczeniowej na rozsądnych handlowo warunkach, Strony podejmą działania w celu uzgodnienia zmian warunków ubezpieczenia określonych w niniejszym Załączniku, przy założeniu utrzymania najszerszego możliwego zakresu ochrony ubezpieczeniowej dostępnego na rynku ubezpieczeniowym przy porównywalnym koszcie ubezpieczenia.</w:t>
      </w:r>
    </w:p>
    <w:p w14:paraId="64C482B0"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Obowiązek Wykonawcy lub podwykonawców do zawarcia lub przedłużania okresu obowiązywania wymaganych ubezpieczeń nie może być w żadnym wypadku interpretowany, jako zwolnienie lub ograniczenie odpowiedzialności wynikającej z powszechnie obowiązujących przepisów prawa oraz postanowień Umowy.</w:t>
      </w:r>
    </w:p>
    <w:p w14:paraId="61D697F7" w14:textId="5328F033"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W przypadku Umowy, której wartość w dniu zawarcia przekracza </w:t>
      </w:r>
      <w:r w:rsidR="00784EDC">
        <w:rPr>
          <w:rStyle w:val="Teksttreci"/>
          <w:color w:val="000000"/>
          <w:sz w:val="20"/>
          <w:szCs w:val="20"/>
        </w:rPr>
        <w:t>10</w:t>
      </w:r>
      <w:r>
        <w:rPr>
          <w:rStyle w:val="Teksttreci"/>
          <w:color w:val="000000"/>
          <w:sz w:val="20"/>
          <w:szCs w:val="20"/>
        </w:rPr>
        <w:t xml:space="preserve">.000.000,00 PLN (słownie: </w:t>
      </w:r>
      <w:r w:rsidR="004064AC">
        <w:rPr>
          <w:rStyle w:val="Teksttreci"/>
          <w:color w:val="000000"/>
          <w:sz w:val="20"/>
          <w:szCs w:val="20"/>
        </w:rPr>
        <w:t>dziesięć</w:t>
      </w:r>
      <w:r w:rsidR="00784EDC">
        <w:rPr>
          <w:rStyle w:val="Teksttreci"/>
          <w:color w:val="000000"/>
          <w:sz w:val="20"/>
          <w:szCs w:val="20"/>
        </w:rPr>
        <w:t xml:space="preserve"> </w:t>
      </w:r>
      <w:r>
        <w:rPr>
          <w:rStyle w:val="Teksttreci"/>
          <w:color w:val="000000"/>
          <w:sz w:val="20"/>
          <w:szCs w:val="20"/>
        </w:rPr>
        <w:t xml:space="preserve">milionów złotych) netto, Zamawiający może zapewnić na własny koszt ochronę ubezpieczeniową w zakresie ubezpieczenia wszystkich ryzyk budowy i montażu (CAR/EAR). Szczegółowe informacje o warunkach i podstawowych parametrach zawartej przez Zamawiającego i aktualnie obowiązującej umowy ubezpieczenia wszystkich ryzyk budowy i montażu (CAR/EAR) zawarte są w niniejszym Załączniku Tabela nr 3. </w:t>
      </w:r>
    </w:p>
    <w:p w14:paraId="0090CC81"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bookmarkStart w:id="0" w:name="_Ref484698590"/>
      <w:r>
        <w:rPr>
          <w:rStyle w:val="Teksttreci"/>
          <w:color w:val="000000"/>
          <w:sz w:val="20"/>
          <w:szCs w:val="20"/>
        </w:rPr>
        <w:t>Strony zobowiązane są przekazać sobie kopie umów/polis wystawionych przez ubezpieczyciela potwierdzających istnienie ochrony ubezpieczeniowej w wymaganym zakresie wraz z mającymi do nich zastosowanie ogólnymi / szczególnymi warunkami ubezpieczenia, o ile z treści tych dokumentów jednoznacznie wynika potwierdzenie spełnienia wymagań określonych w niniejszym Załączniku nie później niż:</w:t>
      </w:r>
      <w:bookmarkEnd w:id="0"/>
    </w:p>
    <w:p w14:paraId="4E02284F" w14:textId="1C509C7A" w:rsidR="00F33FDE" w:rsidRDefault="00F74668">
      <w:pPr>
        <w:pStyle w:val="Teksttreci1"/>
        <w:numPr>
          <w:ilvl w:val="1"/>
          <w:numId w:val="8"/>
        </w:numPr>
        <w:spacing w:after="66" w:line="269" w:lineRule="exact"/>
        <w:ind w:right="20"/>
        <w:jc w:val="both"/>
        <w:rPr>
          <w:rStyle w:val="Teksttreci"/>
          <w:color w:val="000000"/>
          <w:sz w:val="20"/>
          <w:szCs w:val="20"/>
        </w:rPr>
      </w:pPr>
      <w:bookmarkStart w:id="1" w:name="_Ref484696424"/>
      <w:r>
        <w:rPr>
          <w:rStyle w:val="Teksttreci"/>
          <w:color w:val="000000"/>
          <w:sz w:val="20"/>
          <w:szCs w:val="20"/>
        </w:rPr>
        <w:t xml:space="preserve">w zakresie ubezpieczenia odpowiedzialności cywilnej z tytułu prowadzonej przez Wykonawcę działalności i posiadanego mienia – </w:t>
      </w:r>
      <w:r w:rsidR="00E220BD">
        <w:rPr>
          <w:rStyle w:val="Teksttreci"/>
          <w:color w:val="000000"/>
          <w:sz w:val="20"/>
          <w:szCs w:val="20"/>
        </w:rPr>
        <w:t xml:space="preserve">najpóźniej </w:t>
      </w:r>
      <w:r>
        <w:rPr>
          <w:rStyle w:val="Teksttreci"/>
          <w:color w:val="000000"/>
          <w:sz w:val="20"/>
          <w:szCs w:val="20"/>
        </w:rPr>
        <w:t>w dniu podpisania Umowy,</w:t>
      </w:r>
      <w:bookmarkEnd w:id="1"/>
    </w:p>
    <w:p w14:paraId="43D1486D" w14:textId="77777777" w:rsidR="00F33FDE" w:rsidRDefault="00F74668">
      <w:pPr>
        <w:pStyle w:val="Teksttreci1"/>
        <w:numPr>
          <w:ilvl w:val="1"/>
          <w:numId w:val="8"/>
        </w:numPr>
        <w:spacing w:after="66" w:line="269" w:lineRule="exact"/>
        <w:ind w:right="20"/>
        <w:jc w:val="both"/>
        <w:rPr>
          <w:rStyle w:val="Teksttreci"/>
          <w:color w:val="000000"/>
          <w:sz w:val="20"/>
          <w:szCs w:val="20"/>
        </w:rPr>
      </w:pPr>
      <w:bookmarkStart w:id="2" w:name="_Ref484696426"/>
      <w:r>
        <w:rPr>
          <w:rStyle w:val="Teksttreci"/>
          <w:color w:val="000000"/>
          <w:sz w:val="20"/>
          <w:szCs w:val="20"/>
        </w:rPr>
        <w:t>w zakresie ubezpieczeń obowiązkowych, do których posiadania w związku z realizacją Umowy Wykonawca zobowiązany jest na podstawie powszechnie obowiązujących przepisów prawa – w terminie 7 dni od daty podpisania Umowy, a jeśli ustawowy obowiązek ich posiadania powstaje w związku z zawarciem niniejszej Umowy – nie później niż w dniu powstania tego obowiązku (obowiązek przekazania dokumentów ubezpieczenia nie dotyczy obowiązkowego ubezpieczenia odpowiedzialności cywilnej posiadaczy pojazdów mechanicznych),</w:t>
      </w:r>
      <w:bookmarkEnd w:id="2"/>
    </w:p>
    <w:p w14:paraId="4ED447DA" w14:textId="7EA6B317" w:rsidR="00F33FDE" w:rsidRDefault="00F74668">
      <w:pPr>
        <w:pStyle w:val="Teksttreci1"/>
        <w:numPr>
          <w:ilvl w:val="1"/>
          <w:numId w:val="8"/>
        </w:numPr>
        <w:spacing w:after="66" w:line="269" w:lineRule="exact"/>
        <w:ind w:right="20"/>
        <w:jc w:val="both"/>
        <w:rPr>
          <w:rStyle w:val="Teksttreci"/>
          <w:color w:val="000000"/>
          <w:sz w:val="20"/>
          <w:szCs w:val="20"/>
        </w:rPr>
      </w:pPr>
      <w:bookmarkStart w:id="3" w:name="_Ref484696428"/>
      <w:r>
        <w:rPr>
          <w:rStyle w:val="Teksttreci"/>
          <w:color w:val="000000"/>
          <w:sz w:val="20"/>
          <w:szCs w:val="20"/>
        </w:rPr>
        <w:t xml:space="preserve">w zakresie ubezpieczenia mienia w transporcie (CARGO) – w terminie </w:t>
      </w:r>
      <w:r w:rsidR="00A64D65">
        <w:rPr>
          <w:rStyle w:val="Teksttreci"/>
          <w:color w:val="000000"/>
          <w:sz w:val="20"/>
          <w:szCs w:val="20"/>
        </w:rPr>
        <w:t xml:space="preserve">14 </w:t>
      </w:r>
      <w:r>
        <w:rPr>
          <w:rStyle w:val="Teksttreci"/>
          <w:color w:val="000000"/>
          <w:sz w:val="20"/>
          <w:szCs w:val="20"/>
        </w:rPr>
        <w:t>dni przed rozpoczęciem pierwszego transportu</w:t>
      </w:r>
      <w:bookmarkEnd w:id="3"/>
      <w:r>
        <w:rPr>
          <w:rStyle w:val="Teksttreci"/>
          <w:color w:val="000000"/>
          <w:sz w:val="20"/>
          <w:szCs w:val="20"/>
        </w:rPr>
        <w:t>,</w:t>
      </w:r>
    </w:p>
    <w:p w14:paraId="40D55042"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w zakresie ubezpieczenia wszystkich ryzyk budowy i montażu (CAR/EAR) – w terminie 14 dni od rozpoczęcia prac na terenie Zamawiającego.</w:t>
      </w:r>
    </w:p>
    <w:p w14:paraId="2B49CB36" w14:textId="3891093C" w:rsidR="00A64D65" w:rsidRDefault="00F74668" w:rsidP="00E17C4A">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Wykonawca jest zobowiązany przedstawiać kopie umów/polis, aneksów wystawionych przez ubezpieczyciela potwierdzających zachowanie ciągłości ochrony ubezpieczeniowej </w:t>
      </w:r>
      <w:r w:rsidR="00784EDC">
        <w:rPr>
          <w:rStyle w:val="Teksttreci"/>
          <w:color w:val="000000"/>
          <w:sz w:val="20"/>
          <w:szCs w:val="20"/>
        </w:rPr>
        <w:br/>
      </w:r>
      <w:r>
        <w:rPr>
          <w:rStyle w:val="Teksttreci"/>
          <w:color w:val="000000"/>
          <w:sz w:val="20"/>
          <w:szCs w:val="20"/>
        </w:rPr>
        <w:t xml:space="preserve">w wymaganym okresie najpóźniej w dniu zakończenia okresu ubezpieczenia aktualnych umów </w:t>
      </w:r>
      <w:r>
        <w:rPr>
          <w:rStyle w:val="Teksttreci"/>
          <w:color w:val="000000"/>
          <w:sz w:val="20"/>
          <w:szCs w:val="20"/>
        </w:rPr>
        <w:lastRenderedPageBreak/>
        <w:t xml:space="preserve">ubezpieczenia, na adres mailowy: </w:t>
      </w:r>
      <w:hyperlink r:id="rId8" w:history="1">
        <w:r w:rsidR="008338EC" w:rsidRPr="00FA5CE7">
          <w:rPr>
            <w:rStyle w:val="Hipercze"/>
            <w:sz w:val="20"/>
            <w:szCs w:val="20"/>
            <w:shd w:val="clear" w:color="auto" w:fill="FFFFFF"/>
          </w:rPr>
          <w:t>ubezpieczenia@termika.orlen.pl</w:t>
        </w:r>
      </w:hyperlink>
      <w:r>
        <w:rPr>
          <w:rStyle w:val="Teksttreci"/>
          <w:color w:val="000000"/>
          <w:sz w:val="20"/>
          <w:szCs w:val="20"/>
        </w:rPr>
        <w:t>.</w:t>
      </w:r>
    </w:p>
    <w:p w14:paraId="2E2EC463" w14:textId="44B52C84" w:rsidR="00F33FDE" w:rsidRPr="004630A5" w:rsidRDefault="00F74668" w:rsidP="004630A5">
      <w:pPr>
        <w:pStyle w:val="Teksttreci1"/>
        <w:numPr>
          <w:ilvl w:val="0"/>
          <w:numId w:val="8"/>
        </w:numPr>
        <w:spacing w:after="66" w:line="269" w:lineRule="exact"/>
        <w:ind w:left="567" w:right="20"/>
        <w:jc w:val="both"/>
        <w:rPr>
          <w:rStyle w:val="Teksttreci"/>
          <w:color w:val="000000"/>
          <w:sz w:val="20"/>
          <w:szCs w:val="20"/>
        </w:rPr>
      </w:pPr>
      <w:r w:rsidRPr="004630A5">
        <w:rPr>
          <w:rStyle w:val="Teksttreci"/>
          <w:color w:val="000000"/>
          <w:sz w:val="20"/>
          <w:szCs w:val="20"/>
        </w:rPr>
        <w:t xml:space="preserve">Jeżeli w terminie określonym powyżej Wykonawca nie dostarczy wymaganych dokumentów, Zamawiający może wstrzymać </w:t>
      </w:r>
      <w:r w:rsidR="00A64D65" w:rsidRPr="004630A5">
        <w:rPr>
          <w:rStyle w:val="Teksttreci"/>
          <w:color w:val="000000"/>
          <w:sz w:val="20"/>
          <w:szCs w:val="20"/>
        </w:rPr>
        <w:t xml:space="preserve">proces podpisania Umowy a także wstrzymać </w:t>
      </w:r>
      <w:r w:rsidRPr="004630A5">
        <w:rPr>
          <w:rStyle w:val="Teksttreci"/>
          <w:color w:val="000000"/>
          <w:sz w:val="20"/>
          <w:szCs w:val="20"/>
        </w:rPr>
        <w:t xml:space="preserve">prace ze skutkiem natychmiastowym, w szczególności odmówić wpuszczenia Wykonawcy na teren budowy lub wstrzymać płatności za kolejne etapy realizacji Umowy do czasu spełnienia przez Wykonawcę wszystkich wymogów ubezpieczeniowych. Jeżeli wstrzymanie prac skutkować będzie opóźnieniem w ich wykonaniu, będzie to uznane za opóźnienie zawinione przez Wykonawcę, </w:t>
      </w:r>
      <w:r w:rsidR="00784EDC">
        <w:rPr>
          <w:rStyle w:val="Teksttreci"/>
          <w:color w:val="000000"/>
          <w:sz w:val="20"/>
          <w:szCs w:val="20"/>
        </w:rPr>
        <w:br/>
      </w:r>
      <w:r w:rsidRPr="004630A5">
        <w:rPr>
          <w:rStyle w:val="Teksttreci"/>
          <w:color w:val="000000"/>
          <w:sz w:val="20"/>
          <w:szCs w:val="20"/>
        </w:rPr>
        <w:t>a wstrzymanie płatności nie będzie powodować obowiązku Zamawiającego zapłaty odsetek za zwłokę.</w:t>
      </w:r>
    </w:p>
    <w:p w14:paraId="5330CB27"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bookmarkStart w:id="4" w:name="_Ref484772049"/>
      <w:r>
        <w:rPr>
          <w:rStyle w:val="Teksttreci"/>
          <w:color w:val="000000"/>
          <w:sz w:val="20"/>
          <w:szCs w:val="20"/>
        </w:rPr>
        <w:t>Niedostarczenie Zamawiającemu dokumentów potwierdzających spełnienie wymogów wynikających z niniejszego Załącznika w wymaganym terminie, nie zawarcie umowy ubezpieczenia lub niezapewnienie ciągłości ochrony ubezpieczeniowej bądź zawarcie umów ubezpieczenia na warunkach niespełniających wymagań postawionych w niniejszym Załączniku stanowi istotne naruszenie Umowy.</w:t>
      </w:r>
      <w:bookmarkEnd w:id="4"/>
      <w:r>
        <w:rPr>
          <w:rStyle w:val="Teksttreci"/>
          <w:color w:val="000000"/>
          <w:sz w:val="20"/>
          <w:szCs w:val="20"/>
        </w:rPr>
        <w:t xml:space="preserve"> </w:t>
      </w:r>
    </w:p>
    <w:p w14:paraId="11EE720F" w14:textId="08B8C980"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W przypadku, o którym mowa w ust. </w:t>
      </w:r>
      <w:r w:rsidR="00784EDC">
        <w:rPr>
          <w:rStyle w:val="Teksttreci"/>
          <w:color w:val="000000"/>
          <w:sz w:val="20"/>
          <w:szCs w:val="20"/>
        </w:rPr>
        <w:t xml:space="preserve">11 </w:t>
      </w:r>
      <w:r>
        <w:rPr>
          <w:rStyle w:val="Teksttreci"/>
          <w:color w:val="000000"/>
          <w:sz w:val="20"/>
          <w:szCs w:val="20"/>
        </w:rPr>
        <w:t>Zamawiający ma prawo do zawarcia lub przedłużenia umów ubezpieczenia na rzecz Wykonawcy i obciążenia go kosztami składek ubezpieczeniowych lub potrącenie ich z wynagrodzenia Wykonawcy lub z zabezpieczenia należytego wykonania Umowy, pod warunkiem uprzedniego wezwania Wykonawcy do wykonania ww. obowiązku i za wyznaczeniem dodatkowego terminu na jego wykonanie nie krótszego niż 14 dni kalendarzowych.</w:t>
      </w:r>
    </w:p>
    <w:p w14:paraId="039A6998"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Wykonawca ma obowiązek niezwłocznego informowania Zamawiającego o wszystkich szkodach </w:t>
      </w:r>
      <w:r>
        <w:rPr>
          <w:rStyle w:val="Teksttreci"/>
          <w:color w:val="000000"/>
          <w:sz w:val="20"/>
          <w:szCs w:val="20"/>
        </w:rPr>
        <w:br/>
        <w:t>i roszczeniach powstałych w związku z realizacją niniejszej Umowy.</w:t>
      </w:r>
    </w:p>
    <w:p w14:paraId="55D18BEA"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W przypadku zajścia wypadku ubezpieczeniowego wszystkie podmioty zaangażowane bezpośrednio lub pośrednio w realizację niniejszej Umowy zobowiązane są udzielać sobie wzajemnej pomocy, przekazywać sobie informacje i współpracować w celu:</w:t>
      </w:r>
    </w:p>
    <w:p w14:paraId="62F1637A"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 xml:space="preserve">ograniczenia skutków wypadku ubezpieczeniowego oraz </w:t>
      </w:r>
    </w:p>
    <w:p w14:paraId="6182267F"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uzyskania od ubezpieczyciela pełnego odszkodowania w możliwe krótkim czasie.</w:t>
      </w:r>
    </w:p>
    <w:p w14:paraId="590BB48C"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Wykonawca jest zobowiązany do uczestniczenia w procesie likwidacji wszelkich szkód, które powstały w związku z realizacją niniejszej Umowy, w szczególności poprzez wypełnianie obowiązków związanych z procesem likwidacji szkód nałożonych na ubezpieczonego stosownie do postanowień warunków ubezpieczenia oraz powszechnie obowiązujących przepisów prawa. </w:t>
      </w:r>
    </w:p>
    <w:p w14:paraId="311A339B"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W przypadku powstania szkód na istniejącym majątku Zamawiającego lub majątku, który został przekazany protokołem odbioru częściowego/końcowego prac i jest na stanie Zamawiającego –Zamawiający ma prawo prowadzić proces likwidacji szkody.</w:t>
      </w:r>
    </w:p>
    <w:p w14:paraId="553A857E"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Ilekroć ubezpieczyciel odmówi wypłaty, opóźni się z wypłatą lub zmniejszy wartość wypłacanego świadczenia ubezpieczeniowego, bez względu na przyczynę i podstawę prawną, pozostanie to bez wpływu na zobowiązanie Wykonawcy do wykonania przedmiotu Umowy zgodnie </w:t>
      </w:r>
      <w:r>
        <w:rPr>
          <w:rStyle w:val="Teksttreci"/>
          <w:color w:val="000000"/>
          <w:sz w:val="20"/>
          <w:szCs w:val="20"/>
        </w:rPr>
        <w:br/>
        <w:t>z terminami określonymi w harmonogramie realizacji Umowy i w ramach wynagrodzenia. Dla uniknięcia wątpliwości, zaistnienie okoliczności, o jakich mowa w zdaniu poprzednim, nie nakłada na Zamawiającego jakichkolwiek zobowiązań do pokrycia kosztów usunięcia skutków zdarzeń ubezpieczeniowych.</w:t>
      </w:r>
    </w:p>
    <w:p w14:paraId="412017DA"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W przypadku, gdy nie można ustalić podmiotu odpowiedzialnego za przyczyny przedłużenia terminu realizacji Umowy, ciężar ubezpieczenia spoczywa na tym, kto jest zobowiązany do zawarcia umowy ubezpieczenia. Ewentualne koszty związane z doubezpieczeniem, uwzględniające kwestie odpowiedzialności za przedłużenie terminu realizacji Umowy, będą rozpatrywane przy ostatecznym rozliczeniu wynagrodzenia umownego</w:t>
      </w:r>
    </w:p>
    <w:p w14:paraId="073FE150"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 xml:space="preserve">W odniesieniu do roszczeń ubezpieczeniowych dotyczących interesów Zamawiającego, Wykonawca nie może zrezygnować z żadnego roszczenia, ani nie może zawrzeć żadnej ugody z ubezpieczycielem bez uprzedniej pisemnej zgody Zamawiającego. </w:t>
      </w:r>
    </w:p>
    <w:p w14:paraId="38B368BE"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lastRenderedPageBreak/>
        <w:t>W każdym czasie realizacji Umowy Zamawiający może żądać od Wykonawcy przedłożenia pisemnej informacji ubezpieczyciela o rzeczywistej wysokości sumy gwarancyjnej/sumy ubezpieczenia/limitu odpowiedzialności.</w:t>
      </w:r>
    </w:p>
    <w:p w14:paraId="55C62115" w14:textId="77777777" w:rsidR="00F33FDE" w:rsidRDefault="00F74668">
      <w:pPr>
        <w:pStyle w:val="Teksttreci1"/>
        <w:numPr>
          <w:ilvl w:val="0"/>
          <w:numId w:val="8"/>
        </w:numPr>
        <w:spacing w:after="66" w:line="269" w:lineRule="exact"/>
        <w:ind w:left="567" w:right="20"/>
        <w:jc w:val="both"/>
        <w:rPr>
          <w:rStyle w:val="Teksttreci"/>
          <w:color w:val="000000"/>
          <w:sz w:val="20"/>
          <w:szCs w:val="20"/>
        </w:rPr>
      </w:pPr>
      <w:r>
        <w:rPr>
          <w:rStyle w:val="Teksttreci"/>
          <w:color w:val="000000"/>
          <w:sz w:val="20"/>
          <w:szCs w:val="20"/>
        </w:rPr>
        <w:t>Szczególne regulacje związane z ubezpieczeniem mienia w transporcie (CARGO) oraz ubezpieczeniem wszystkich ryzyk budowy i montażu (CAR/EAR):</w:t>
      </w:r>
    </w:p>
    <w:p w14:paraId="2CEFF739"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Wypłata odszkodowania, jego części lub zaliczki w wysokości wyższej niż 1.000.000,00 PLN (słownie: jeden milion złotych) na rzecz Wykonawcy, jego podwykonawcy lub innego ubezpieczonego podmiotu wymaga uprzedniej zgody Zamawiającego.</w:t>
      </w:r>
    </w:p>
    <w:p w14:paraId="0CEC2252"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 xml:space="preserve">Niezależnie od miejsca wystąpienia szkody, uprawnionym do otrzymania odszkodowania z umowy ubezpieczenia będzie podmiot, który ponosi ryzyko uszkodzenia lub utraty mienia dotkniętego szkodą lub który ponosi koszty przywrócenia stanu sprzed szkody. </w:t>
      </w:r>
    </w:p>
    <w:p w14:paraId="59ED6ABF"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Odszkodowanie uzyskane od ubezpieczyciela może być przeznaczone wyłącznie na usunięcie skutków szkody i przywrócenie stanu sprzed powstania szkody. Zamawiający ma prawo zażądać od Wykonawcy przedstawienia informacji i raportów dotyczących trybu i sposobu wykorzystania kwot odszkodowań lub zaliczek na poczet odszkodowań wypłaconych temu podmiotowi w celu usunięcia lub minimalizacji następstw zdarzenia ubezpieczeniowego.</w:t>
      </w:r>
    </w:p>
    <w:p w14:paraId="0424FBC1" w14:textId="77777777"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 lub przez potrącenie w zakresie prawnie dopuszczalnym z zabezpieczenia lub z wynagrodzenia.</w:t>
      </w:r>
    </w:p>
    <w:p w14:paraId="19DAD0D7" w14:textId="5261B74C" w:rsidR="00F33FDE" w:rsidRDefault="00F74668">
      <w:pPr>
        <w:pStyle w:val="Teksttreci1"/>
        <w:numPr>
          <w:ilvl w:val="1"/>
          <w:numId w:val="8"/>
        </w:numPr>
        <w:spacing w:after="66" w:line="269" w:lineRule="exact"/>
        <w:ind w:right="20"/>
        <w:jc w:val="both"/>
        <w:rPr>
          <w:rStyle w:val="Teksttreci"/>
          <w:color w:val="000000"/>
          <w:sz w:val="20"/>
          <w:szCs w:val="20"/>
        </w:rPr>
      </w:pPr>
      <w:r>
        <w:rPr>
          <w:rStyle w:val="Teksttreci"/>
          <w:color w:val="000000"/>
          <w:sz w:val="20"/>
          <w:szCs w:val="20"/>
        </w:rPr>
        <w:t xml:space="preserve">Kwoty udziałów własnych/franszyz obciążają Wykonawcę lub jego podwykonawców. </w:t>
      </w:r>
    </w:p>
    <w:p w14:paraId="09C1D0BB" w14:textId="2A9D4859" w:rsidR="001D3A4B" w:rsidRDefault="001D3A4B" w:rsidP="002C0F2A">
      <w:pPr>
        <w:pStyle w:val="Teksttreci1"/>
        <w:spacing w:after="66" w:line="269" w:lineRule="exact"/>
        <w:ind w:left="1080" w:right="20" w:firstLine="0"/>
        <w:jc w:val="both"/>
        <w:rPr>
          <w:rStyle w:val="Teksttreci"/>
          <w:color w:val="000000"/>
          <w:sz w:val="20"/>
          <w:szCs w:val="20"/>
        </w:rPr>
      </w:pPr>
    </w:p>
    <w:p w14:paraId="7A8A84A5" w14:textId="77777777" w:rsidR="00F33FDE" w:rsidRDefault="00F74668">
      <w:pPr>
        <w:rPr>
          <w:rStyle w:val="Teksttreci"/>
          <w:color w:val="000000"/>
          <w:sz w:val="20"/>
          <w:szCs w:val="20"/>
        </w:rPr>
      </w:pPr>
      <w:r>
        <w:br w:type="page"/>
      </w:r>
    </w:p>
    <w:p w14:paraId="2F0FA527" w14:textId="77777777" w:rsidR="00F33FDE" w:rsidRDefault="00F74668">
      <w:pPr>
        <w:spacing w:line="360" w:lineRule="auto"/>
        <w:jc w:val="both"/>
        <w:rPr>
          <w:rFonts w:ascii="Arial" w:hAnsi="Arial" w:cs="Arial"/>
          <w:sz w:val="20"/>
          <w:szCs w:val="20"/>
        </w:rPr>
      </w:pPr>
      <w:r>
        <w:rPr>
          <w:rFonts w:ascii="Arial" w:hAnsi="Arial" w:cs="Arial"/>
          <w:sz w:val="20"/>
          <w:szCs w:val="20"/>
        </w:rPr>
        <w:lastRenderedPageBreak/>
        <w:t>TABELA NR 1</w:t>
      </w:r>
    </w:p>
    <w:p w14:paraId="063FA2B6" w14:textId="77777777" w:rsidR="00F33FDE" w:rsidRDefault="00F74668">
      <w:pPr>
        <w:spacing w:line="360" w:lineRule="auto"/>
        <w:jc w:val="both"/>
        <w:rPr>
          <w:rFonts w:ascii="Arial" w:hAnsi="Arial" w:cs="Arial"/>
          <w:sz w:val="20"/>
          <w:szCs w:val="20"/>
        </w:rPr>
      </w:pPr>
      <w:r>
        <w:rPr>
          <w:rFonts w:ascii="Arial" w:hAnsi="Arial" w:cs="Arial"/>
          <w:sz w:val="20"/>
          <w:szCs w:val="20"/>
        </w:rPr>
        <w:t xml:space="preserve">MINIMALNE WYMAGANE WARUNKI UBEZPIECZENIA ODPOWIEDZIALNOŚCI CYWILNEJ </w:t>
      </w:r>
      <w:r>
        <w:rPr>
          <w:rFonts w:ascii="Arial" w:hAnsi="Arial" w:cs="Arial"/>
          <w:sz w:val="20"/>
          <w:szCs w:val="20"/>
        </w:rPr>
        <w:br/>
        <w:t>Z TYTUŁU PROWADZONEJ PRZEZ WYKONAWCĘ DZIAŁALNOŚCI I POSIADANEGO MIENIA</w:t>
      </w:r>
    </w:p>
    <w:tbl>
      <w:tblPr>
        <w:tblStyle w:val="Tabela-Siatka"/>
        <w:tblW w:w="9062" w:type="dxa"/>
        <w:tblLook w:val="04A0" w:firstRow="1" w:lastRow="0" w:firstColumn="1" w:lastColumn="0" w:noHBand="0" w:noVBand="1"/>
      </w:tblPr>
      <w:tblGrid>
        <w:gridCol w:w="704"/>
        <w:gridCol w:w="2835"/>
        <w:gridCol w:w="5523"/>
      </w:tblGrid>
      <w:tr w:rsidR="00F33FDE" w14:paraId="4B9AD3DB" w14:textId="77777777">
        <w:tc>
          <w:tcPr>
            <w:tcW w:w="704" w:type="dxa"/>
            <w:shd w:val="clear" w:color="auto" w:fill="D9D9D9" w:themeFill="background1" w:themeFillShade="D9"/>
          </w:tcPr>
          <w:p w14:paraId="5251D5EA"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Lp.</w:t>
            </w:r>
          </w:p>
        </w:tc>
        <w:tc>
          <w:tcPr>
            <w:tcW w:w="2835" w:type="dxa"/>
            <w:shd w:val="clear" w:color="auto" w:fill="D9D9D9" w:themeFill="background1" w:themeFillShade="D9"/>
          </w:tcPr>
          <w:p w14:paraId="28885BE2"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Zagadnienie</w:t>
            </w:r>
          </w:p>
        </w:tc>
        <w:tc>
          <w:tcPr>
            <w:tcW w:w="5523" w:type="dxa"/>
            <w:shd w:val="clear" w:color="auto" w:fill="D9D9D9" w:themeFill="background1" w:themeFillShade="D9"/>
          </w:tcPr>
          <w:p w14:paraId="1239B9D5"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Minimalny wymóg</w:t>
            </w:r>
          </w:p>
        </w:tc>
      </w:tr>
      <w:tr w:rsidR="00F33FDE" w14:paraId="15D8617E" w14:textId="77777777">
        <w:tc>
          <w:tcPr>
            <w:tcW w:w="704" w:type="dxa"/>
          </w:tcPr>
          <w:p w14:paraId="0DBE4A3C"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583292D2"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Ubezpieczony</w:t>
            </w:r>
          </w:p>
        </w:tc>
        <w:tc>
          <w:tcPr>
            <w:tcW w:w="5523" w:type="dxa"/>
            <w:vAlign w:val="center"/>
          </w:tcPr>
          <w:p w14:paraId="273776E1"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Wykonawca.</w:t>
            </w:r>
          </w:p>
        </w:tc>
      </w:tr>
      <w:tr w:rsidR="00F33FDE" w14:paraId="0B42F82C" w14:textId="77777777">
        <w:tc>
          <w:tcPr>
            <w:tcW w:w="704" w:type="dxa"/>
          </w:tcPr>
          <w:p w14:paraId="2920EAC1"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6EDAA8A1"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Wykonawcy działający wspólnie</w:t>
            </w:r>
          </w:p>
        </w:tc>
        <w:tc>
          <w:tcPr>
            <w:tcW w:w="5523" w:type="dxa"/>
            <w:vAlign w:val="center"/>
          </w:tcPr>
          <w:p w14:paraId="5584235F"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W przypadku Wykonawców działających wspólnie </w:t>
            </w:r>
            <w:r>
              <w:rPr>
                <w:rFonts w:ascii="Arial" w:hAnsi="Arial" w:cs="Arial"/>
                <w:sz w:val="20"/>
                <w:szCs w:val="20"/>
              </w:rPr>
              <w:br/>
              <w:t>(np. w formie konsorcjum) wymóg dotyczący ubezpieczenia OC powinien zostać spełniony w następujący sposób:</w:t>
            </w:r>
          </w:p>
          <w:p w14:paraId="494DC928" w14:textId="77777777" w:rsidR="00F33FDE" w:rsidRDefault="00F74668">
            <w:pPr>
              <w:pStyle w:val="Akapitzlist"/>
              <w:numPr>
                <w:ilvl w:val="0"/>
                <w:numId w:val="2"/>
              </w:numPr>
              <w:spacing w:before="120" w:after="120" w:line="276" w:lineRule="auto"/>
              <w:jc w:val="both"/>
              <w:rPr>
                <w:rFonts w:ascii="Arial" w:hAnsi="Arial" w:cs="Arial"/>
                <w:sz w:val="20"/>
                <w:szCs w:val="20"/>
              </w:rPr>
            </w:pPr>
            <w:r>
              <w:rPr>
                <w:rFonts w:ascii="Arial" w:hAnsi="Arial" w:cs="Arial"/>
                <w:sz w:val="20"/>
                <w:szCs w:val="20"/>
              </w:rPr>
              <w:t>poprzez przedstawienie spełniającej wszystkie wymogi niniejszej Umowy, polisy, na której jako ubezpieczeni (współubezpieczeni) wskazani zostaną wszyscy członkowie konsorcjum,</w:t>
            </w:r>
          </w:p>
          <w:p w14:paraId="482ACE9C" w14:textId="77777777" w:rsidR="00F33FDE" w:rsidRDefault="00F74668">
            <w:pPr>
              <w:pStyle w:val="Akapitzlist"/>
              <w:spacing w:before="120" w:after="120" w:line="276" w:lineRule="auto"/>
              <w:jc w:val="both"/>
              <w:rPr>
                <w:rFonts w:ascii="Arial" w:hAnsi="Arial" w:cs="Arial"/>
                <w:sz w:val="20"/>
                <w:szCs w:val="20"/>
              </w:rPr>
            </w:pPr>
            <w:r>
              <w:rPr>
                <w:rFonts w:ascii="Arial" w:hAnsi="Arial" w:cs="Arial"/>
                <w:sz w:val="20"/>
                <w:szCs w:val="20"/>
              </w:rPr>
              <w:t>albo</w:t>
            </w:r>
          </w:p>
          <w:p w14:paraId="2D4510AA" w14:textId="77777777" w:rsidR="00F33FDE" w:rsidRDefault="00F74668">
            <w:pPr>
              <w:pStyle w:val="Akapitzlist"/>
              <w:numPr>
                <w:ilvl w:val="0"/>
                <w:numId w:val="2"/>
              </w:numPr>
              <w:spacing w:before="120" w:after="120" w:line="240" w:lineRule="auto"/>
              <w:jc w:val="both"/>
              <w:rPr>
                <w:rFonts w:ascii="Arial" w:hAnsi="Arial" w:cs="Arial"/>
                <w:sz w:val="20"/>
                <w:szCs w:val="20"/>
              </w:rPr>
            </w:pPr>
            <w:r>
              <w:rPr>
                <w:rFonts w:ascii="Arial" w:hAnsi="Arial" w:cs="Arial"/>
                <w:sz w:val="20"/>
                <w:szCs w:val="20"/>
              </w:rPr>
              <w:t xml:space="preserve">poprzez przedstawienie spełniających wszystkie wymogi niniejszej Umowy indywidualnych polis każdego </w:t>
            </w:r>
            <w:r>
              <w:rPr>
                <w:rFonts w:ascii="Arial" w:hAnsi="Arial" w:cs="Arial"/>
                <w:sz w:val="20"/>
                <w:szCs w:val="20"/>
              </w:rPr>
              <w:br/>
              <w:t xml:space="preserve">z członków konsorcjum. </w:t>
            </w:r>
          </w:p>
          <w:p w14:paraId="4D9D0301"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[Odpowiedzialność cywilna wzajemna]</w:t>
            </w:r>
          </w:p>
          <w:p w14:paraId="1B890E83"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W 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w:t>
            </w:r>
          </w:p>
          <w:p w14:paraId="73FE8690"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[Odpowiedzialność solidarna]</w:t>
            </w:r>
          </w:p>
          <w:p w14:paraId="067D2D64"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Umowa ubezpieczenia nie może wyłączać ani w żaden sposób ograniczać odpowiedzialności ubezpieczyciela </w:t>
            </w:r>
            <w:r>
              <w:rPr>
                <w:rFonts w:ascii="Arial" w:hAnsi="Arial" w:cs="Arial"/>
                <w:sz w:val="20"/>
                <w:szCs w:val="20"/>
              </w:rPr>
              <w:br/>
              <w:t>w zakresie, w jakim Wykonawcy ponoszą wobec Zamawiającego odpowiedzialność solidarną z pozostałymi Wykonawcami.</w:t>
            </w:r>
          </w:p>
        </w:tc>
      </w:tr>
      <w:tr w:rsidR="00F33FDE" w14:paraId="06385E91" w14:textId="77777777">
        <w:tc>
          <w:tcPr>
            <w:tcW w:w="704" w:type="dxa"/>
          </w:tcPr>
          <w:p w14:paraId="23377538"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2198B8E4"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Ubezpieczone ryzyko</w:t>
            </w:r>
          </w:p>
        </w:tc>
        <w:tc>
          <w:tcPr>
            <w:tcW w:w="5523" w:type="dxa"/>
            <w:vAlign w:val="center"/>
          </w:tcPr>
          <w:p w14:paraId="7AF9CA9B"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Ubezpieczona działalność musi być tożsama z przedmiotem działalności niezbędnej do wykonania Umowy zawartej </w:t>
            </w:r>
            <w:r>
              <w:rPr>
                <w:rFonts w:ascii="Arial" w:hAnsi="Arial" w:cs="Arial"/>
                <w:sz w:val="20"/>
                <w:szCs w:val="20"/>
              </w:rPr>
              <w:br/>
              <w:t>z Zamawiającym (przedmiotem i zakresem Umowy).</w:t>
            </w:r>
          </w:p>
          <w:p w14:paraId="5BDE9CF6"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Z ochrony ubezpieczeniowej odpowiedzialności cywilnej Wykonawcy nie może być wyłączone ryzyko związane </w:t>
            </w:r>
            <w:r>
              <w:rPr>
                <w:rFonts w:ascii="Arial" w:hAnsi="Arial" w:cs="Arial"/>
                <w:sz w:val="20"/>
                <w:szCs w:val="20"/>
              </w:rPr>
              <w:br/>
              <w:t>z realizacją niniejszej Umowy.</w:t>
            </w:r>
          </w:p>
        </w:tc>
      </w:tr>
      <w:tr w:rsidR="00F33FDE" w14:paraId="0F751EB8" w14:textId="77777777">
        <w:tc>
          <w:tcPr>
            <w:tcW w:w="704" w:type="dxa"/>
          </w:tcPr>
          <w:p w14:paraId="3B9081F2"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31D5ED44"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Okres ubezpieczenia</w:t>
            </w:r>
          </w:p>
        </w:tc>
        <w:tc>
          <w:tcPr>
            <w:tcW w:w="5523" w:type="dxa"/>
            <w:vAlign w:val="center"/>
          </w:tcPr>
          <w:p w14:paraId="76FC2710"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Od podpisania Umowy lub rozpoczęcia jej realizacji </w:t>
            </w:r>
            <w:r>
              <w:rPr>
                <w:rFonts w:ascii="Arial" w:hAnsi="Arial" w:cs="Arial"/>
                <w:sz w:val="20"/>
                <w:szCs w:val="20"/>
              </w:rPr>
              <w:br/>
              <w:t>w zależności, co nastąpi wcześniej), przez cały okres obowiązywania Umowy oraz dodatkowo przez okres rękojmi i gwarancji.</w:t>
            </w:r>
          </w:p>
          <w:p w14:paraId="42737717"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[Polisy roczne]</w:t>
            </w:r>
          </w:p>
          <w:p w14:paraId="62AC84F2"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Dopuszcza się polisy roczne pod warunkiem ich kontynuowania</w:t>
            </w:r>
            <w:r>
              <w:rPr>
                <w:rFonts w:ascii="Arial" w:hAnsi="Arial" w:cs="Arial"/>
                <w:sz w:val="20"/>
                <w:szCs w:val="20"/>
              </w:rPr>
              <w:br/>
            </w:r>
            <w:r>
              <w:rPr>
                <w:rFonts w:ascii="Arial" w:hAnsi="Arial" w:cs="Arial"/>
                <w:sz w:val="20"/>
                <w:szCs w:val="20"/>
              </w:rPr>
              <w:lastRenderedPageBreak/>
              <w:t xml:space="preserve"> i zachowania ciągłości ochrony ubezpieczeniowej, co najmniej przez powyższy okres.</w:t>
            </w:r>
          </w:p>
        </w:tc>
      </w:tr>
      <w:tr w:rsidR="00F33FDE" w14:paraId="26CF746B" w14:textId="77777777">
        <w:tc>
          <w:tcPr>
            <w:tcW w:w="704" w:type="dxa"/>
          </w:tcPr>
          <w:p w14:paraId="1B28346A"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706F897E" w14:textId="77777777" w:rsidR="00F33FDE" w:rsidRDefault="00F74668">
            <w:pPr>
              <w:spacing w:before="120" w:after="120" w:line="276" w:lineRule="auto"/>
              <w:contextualSpacing/>
              <w:rPr>
                <w:rFonts w:ascii="Arial" w:eastAsia="Times New Roman" w:hAnsi="Arial" w:cs="Arial"/>
                <w:sz w:val="20"/>
                <w:szCs w:val="20"/>
              </w:rPr>
            </w:pPr>
            <w:r>
              <w:rPr>
                <w:rFonts w:ascii="Arial" w:hAnsi="Arial" w:cs="Arial"/>
                <w:sz w:val="20"/>
                <w:szCs w:val="20"/>
              </w:rPr>
              <w:t>Przedmiot ubezpieczenia</w:t>
            </w:r>
          </w:p>
        </w:tc>
        <w:tc>
          <w:tcPr>
            <w:tcW w:w="5523" w:type="dxa"/>
          </w:tcPr>
          <w:p w14:paraId="01FA8F74"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Odpowiedzialność cywilna Wykonawcy z tytułu prowadzenia działalności oraz posiadanego mienia pokrywająca szkody wyrządzone z tytułu czynów niedozwolonych (odpowiedzialność deliktowa) oraz z tytułu niewykonania lub nienależytego wykonania zobowiązania (odpowiedzialność kontraktowa), w postaci:</w:t>
            </w:r>
          </w:p>
          <w:p w14:paraId="045DFF2E" w14:textId="77777777" w:rsidR="00F33FDE" w:rsidRDefault="00F74668">
            <w:pPr>
              <w:pStyle w:val="Akapitzlist"/>
              <w:numPr>
                <w:ilvl w:val="0"/>
                <w:numId w:val="2"/>
              </w:numPr>
              <w:spacing w:before="120" w:after="120" w:line="240" w:lineRule="auto"/>
              <w:jc w:val="both"/>
              <w:rPr>
                <w:rFonts w:ascii="Arial" w:hAnsi="Arial" w:cs="Arial"/>
                <w:sz w:val="20"/>
                <w:szCs w:val="20"/>
              </w:rPr>
            </w:pPr>
            <w:r>
              <w:rPr>
                <w:rFonts w:ascii="Arial" w:hAnsi="Arial" w:cs="Arial"/>
                <w:sz w:val="20"/>
                <w:szCs w:val="20"/>
              </w:rPr>
              <w:t>szkód rzeczowych (rozumianych, jako uszkodzenie, zniszczenie lub utrata rzeczy),</w:t>
            </w:r>
          </w:p>
          <w:p w14:paraId="2513375F" w14:textId="77777777" w:rsidR="00F33FDE" w:rsidRDefault="00F74668">
            <w:pPr>
              <w:pStyle w:val="Akapitzlist"/>
              <w:numPr>
                <w:ilvl w:val="0"/>
                <w:numId w:val="2"/>
              </w:numPr>
              <w:spacing w:before="120" w:after="120" w:line="240" w:lineRule="auto"/>
              <w:jc w:val="both"/>
              <w:rPr>
                <w:rFonts w:ascii="Arial" w:hAnsi="Arial" w:cs="Arial"/>
                <w:sz w:val="20"/>
                <w:szCs w:val="20"/>
              </w:rPr>
            </w:pPr>
            <w:r>
              <w:rPr>
                <w:rFonts w:ascii="Arial" w:hAnsi="Arial" w:cs="Arial"/>
                <w:sz w:val="20"/>
                <w:szCs w:val="20"/>
              </w:rPr>
              <w:t>szkód osobowych (rozumianych, jako utrata życia, uszkodzenie ciała lub rozstrój zdrowia),</w:t>
            </w:r>
          </w:p>
          <w:p w14:paraId="6D3FEFB2" w14:textId="77777777" w:rsidR="00F33FDE" w:rsidRDefault="00F74668">
            <w:pPr>
              <w:pStyle w:val="Akapitzlist"/>
              <w:numPr>
                <w:ilvl w:val="0"/>
                <w:numId w:val="2"/>
              </w:numPr>
              <w:spacing w:before="120" w:after="120" w:line="240" w:lineRule="auto"/>
              <w:jc w:val="both"/>
              <w:rPr>
                <w:rFonts w:ascii="Arial" w:hAnsi="Arial" w:cs="Arial"/>
                <w:sz w:val="20"/>
                <w:szCs w:val="20"/>
              </w:rPr>
            </w:pPr>
            <w:r>
              <w:rPr>
                <w:rFonts w:ascii="Arial" w:hAnsi="Arial" w:cs="Arial"/>
                <w:sz w:val="20"/>
                <w:szCs w:val="20"/>
              </w:rPr>
              <w:t xml:space="preserve">czystych strat finansowych (ang. </w:t>
            </w:r>
            <w:proofErr w:type="spellStart"/>
            <w:r>
              <w:rPr>
                <w:rFonts w:ascii="Arial" w:hAnsi="Arial" w:cs="Arial"/>
                <w:sz w:val="20"/>
                <w:szCs w:val="20"/>
              </w:rPr>
              <w:t>pure</w:t>
            </w:r>
            <w:proofErr w:type="spellEnd"/>
            <w:r>
              <w:rPr>
                <w:rFonts w:ascii="Arial" w:hAnsi="Arial" w:cs="Arial"/>
                <w:sz w:val="20"/>
                <w:szCs w:val="20"/>
              </w:rPr>
              <w:t xml:space="preserve"> </w:t>
            </w:r>
            <w:proofErr w:type="spellStart"/>
            <w:r>
              <w:rPr>
                <w:rFonts w:ascii="Arial" w:hAnsi="Arial" w:cs="Arial"/>
                <w:sz w:val="20"/>
                <w:szCs w:val="20"/>
              </w:rPr>
              <w:t>financial</w:t>
            </w:r>
            <w:proofErr w:type="spellEnd"/>
            <w:r>
              <w:rPr>
                <w:rFonts w:ascii="Arial" w:hAnsi="Arial" w:cs="Arial"/>
                <w:sz w:val="20"/>
                <w:szCs w:val="20"/>
              </w:rPr>
              <w:t xml:space="preserve"> </w:t>
            </w:r>
            <w:proofErr w:type="spellStart"/>
            <w:r>
              <w:rPr>
                <w:rFonts w:ascii="Arial" w:hAnsi="Arial" w:cs="Arial"/>
                <w:sz w:val="20"/>
                <w:szCs w:val="20"/>
              </w:rPr>
              <w:t>loss</w:t>
            </w:r>
            <w:proofErr w:type="spellEnd"/>
            <w:r>
              <w:rPr>
                <w:rFonts w:ascii="Arial" w:hAnsi="Arial" w:cs="Arial"/>
                <w:sz w:val="20"/>
                <w:szCs w:val="20"/>
              </w:rPr>
              <w:t>) (rozumianych, jako inne straty finansowe nie będące szkodą rzeczową ani szkodą osobową),</w:t>
            </w:r>
          </w:p>
          <w:p w14:paraId="48DB7976" w14:textId="77777777" w:rsidR="00F33FDE" w:rsidRDefault="00F74668">
            <w:pPr>
              <w:spacing w:before="120" w:after="120" w:line="276" w:lineRule="auto"/>
              <w:jc w:val="both"/>
              <w:rPr>
                <w:rFonts w:ascii="Arial" w:eastAsia="Times New Roman" w:hAnsi="Arial" w:cs="Arial"/>
                <w:sz w:val="20"/>
                <w:szCs w:val="20"/>
              </w:rPr>
            </w:pPr>
            <w:r>
              <w:rPr>
                <w:rFonts w:ascii="Arial" w:hAnsi="Arial" w:cs="Arial"/>
                <w:sz w:val="20"/>
                <w:szCs w:val="20"/>
              </w:rPr>
              <w:t>które obejmują zarówno szkody rzeczywiste (</w:t>
            </w:r>
            <w:proofErr w:type="spellStart"/>
            <w:r>
              <w:rPr>
                <w:rFonts w:ascii="Arial" w:hAnsi="Arial" w:cs="Arial"/>
                <w:sz w:val="20"/>
                <w:szCs w:val="20"/>
              </w:rPr>
              <w:t>damnum</w:t>
            </w:r>
            <w:proofErr w:type="spellEnd"/>
            <w:r>
              <w:rPr>
                <w:rFonts w:ascii="Arial" w:hAnsi="Arial" w:cs="Arial"/>
                <w:sz w:val="20"/>
                <w:szCs w:val="20"/>
              </w:rPr>
              <w:t xml:space="preserve"> </w:t>
            </w:r>
            <w:proofErr w:type="spellStart"/>
            <w:r>
              <w:rPr>
                <w:rFonts w:ascii="Arial" w:hAnsi="Arial" w:cs="Arial"/>
                <w:sz w:val="20"/>
                <w:szCs w:val="20"/>
              </w:rPr>
              <w:t>emergens</w:t>
            </w:r>
            <w:proofErr w:type="spellEnd"/>
            <w:r>
              <w:rPr>
                <w:rFonts w:ascii="Arial" w:hAnsi="Arial" w:cs="Arial"/>
                <w:sz w:val="20"/>
                <w:szCs w:val="20"/>
              </w:rPr>
              <w:t>) jaki i utracone korzyści (</w:t>
            </w:r>
            <w:proofErr w:type="spellStart"/>
            <w:r>
              <w:rPr>
                <w:rFonts w:ascii="Arial" w:hAnsi="Arial" w:cs="Arial"/>
                <w:sz w:val="20"/>
                <w:szCs w:val="20"/>
              </w:rPr>
              <w:t>lucrum</w:t>
            </w:r>
            <w:proofErr w:type="spellEnd"/>
            <w:r>
              <w:rPr>
                <w:rFonts w:ascii="Arial" w:hAnsi="Arial" w:cs="Arial"/>
                <w:sz w:val="20"/>
                <w:szCs w:val="20"/>
              </w:rPr>
              <w:t xml:space="preserve"> </w:t>
            </w:r>
            <w:proofErr w:type="spellStart"/>
            <w:r>
              <w:rPr>
                <w:rFonts w:ascii="Arial" w:hAnsi="Arial" w:cs="Arial"/>
                <w:sz w:val="20"/>
                <w:szCs w:val="20"/>
              </w:rPr>
              <w:t>cessans</w:t>
            </w:r>
            <w:proofErr w:type="spellEnd"/>
            <w:r>
              <w:rPr>
                <w:rFonts w:ascii="Arial" w:hAnsi="Arial" w:cs="Arial"/>
                <w:sz w:val="20"/>
                <w:szCs w:val="20"/>
              </w:rPr>
              <w:t>) będące ich następstwem.</w:t>
            </w:r>
          </w:p>
        </w:tc>
      </w:tr>
      <w:tr w:rsidR="00F33FDE" w14:paraId="13496D50" w14:textId="77777777">
        <w:tc>
          <w:tcPr>
            <w:tcW w:w="704" w:type="dxa"/>
          </w:tcPr>
          <w:p w14:paraId="7FB1EA75"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677C968B"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Suma ubezpieczenia (gwarancyjna)</w:t>
            </w:r>
          </w:p>
        </w:tc>
        <w:tc>
          <w:tcPr>
            <w:tcW w:w="5523" w:type="dxa"/>
          </w:tcPr>
          <w:p w14:paraId="31A83F12"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1.000.000,00 PLN (słownie: jeden milion złotych) na jedno i wszystkie zdarzenia, jednak nie mniej niż 75% wynagrodzenia za realizację Umowy netto.</w:t>
            </w:r>
          </w:p>
          <w:p w14:paraId="1E885096"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[Polisa dedykowana]</w:t>
            </w:r>
          </w:p>
          <w:p w14:paraId="6E88430F"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1.000.000,00 PLN (słownie: jeden milion złotych) na jedno i wszystkie zdarzenia, jednak nie mniej niż 50% wynagrodzenia za realizację Umowy netto, w przypadku zawarcia polisy chroniącej wyłącznie działalność Wykonawcy związaną z realizacją niniejszej Umowy z Zamawiającym (polisa dedykowana pod Umowę).</w:t>
            </w:r>
          </w:p>
          <w:p w14:paraId="7C819BF8"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Dla czystych strat finansowych dopuszcza się limit odpowiedzialności w ramach sumy gwarancyjnej </w:t>
            </w:r>
            <w:r>
              <w:rPr>
                <w:rFonts w:ascii="Arial" w:hAnsi="Arial" w:cs="Arial"/>
                <w:sz w:val="20"/>
                <w:szCs w:val="20"/>
              </w:rPr>
              <w:br/>
              <w:t>w wysokości nie niższej niż 30% minimalnej wymaganej sumy ubezpieczenia (gwarancyjnej).</w:t>
            </w:r>
          </w:p>
        </w:tc>
      </w:tr>
      <w:tr w:rsidR="00F33FDE" w14:paraId="6EE8C74B" w14:textId="77777777">
        <w:tc>
          <w:tcPr>
            <w:tcW w:w="704" w:type="dxa"/>
          </w:tcPr>
          <w:p w14:paraId="02F33F0D"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48C696E9"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Podlimity odpowiedzialności</w:t>
            </w:r>
          </w:p>
        </w:tc>
        <w:tc>
          <w:tcPr>
            <w:tcW w:w="5523" w:type="dxa"/>
          </w:tcPr>
          <w:p w14:paraId="0598438A"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Wprowadzenie w umowie / polisie </w:t>
            </w:r>
            <w:proofErr w:type="spellStart"/>
            <w:r>
              <w:rPr>
                <w:rFonts w:ascii="Arial" w:hAnsi="Arial" w:cs="Arial"/>
                <w:sz w:val="20"/>
                <w:szCs w:val="20"/>
              </w:rPr>
              <w:t>podlimitu</w:t>
            </w:r>
            <w:proofErr w:type="spellEnd"/>
            <w:r>
              <w:rPr>
                <w:rFonts w:ascii="Arial" w:hAnsi="Arial" w:cs="Arial"/>
                <w:sz w:val="20"/>
                <w:szCs w:val="20"/>
              </w:rPr>
              <w:t xml:space="preserve"> odpowiedzialności w zakresie minimalnych wymogów ubezpieczeniowych jest dopuszczalne wyłącznie </w:t>
            </w:r>
            <w:r>
              <w:rPr>
                <w:rFonts w:ascii="Arial" w:hAnsi="Arial" w:cs="Arial"/>
                <w:sz w:val="20"/>
                <w:szCs w:val="20"/>
              </w:rPr>
              <w:br/>
              <w:t>w przypadkach wyraźnie wskazanych w niniejszych wymogach.</w:t>
            </w:r>
          </w:p>
          <w:p w14:paraId="3D63B5E9"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[Zastosowanie niższego </w:t>
            </w:r>
            <w:proofErr w:type="spellStart"/>
            <w:r>
              <w:rPr>
                <w:rFonts w:ascii="Arial" w:hAnsi="Arial" w:cs="Arial"/>
                <w:sz w:val="20"/>
                <w:szCs w:val="20"/>
              </w:rPr>
              <w:t>podlimitu</w:t>
            </w:r>
            <w:proofErr w:type="spellEnd"/>
            <w:r>
              <w:rPr>
                <w:rFonts w:ascii="Arial" w:hAnsi="Arial" w:cs="Arial"/>
                <w:sz w:val="20"/>
                <w:szCs w:val="20"/>
              </w:rPr>
              <w:t xml:space="preserve"> odpowiedzialności]</w:t>
            </w:r>
          </w:p>
          <w:p w14:paraId="35468F00"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Na pisemny, odpowiednio uzasadniony wniosek Wykonawcy, Zamawiający może wyrazić zgodę na zastosowanie dla danego ryzyka </w:t>
            </w:r>
            <w:proofErr w:type="spellStart"/>
            <w:r>
              <w:rPr>
                <w:rFonts w:ascii="Arial" w:hAnsi="Arial" w:cs="Arial"/>
                <w:sz w:val="20"/>
                <w:szCs w:val="20"/>
              </w:rPr>
              <w:t>podlimitu</w:t>
            </w:r>
            <w:proofErr w:type="spellEnd"/>
            <w:r>
              <w:rPr>
                <w:rFonts w:ascii="Arial" w:hAnsi="Arial" w:cs="Arial"/>
                <w:sz w:val="20"/>
                <w:szCs w:val="20"/>
              </w:rPr>
              <w:t xml:space="preserve"> odpowiedzialności lub obniżenie dopuszczalnego </w:t>
            </w:r>
            <w:proofErr w:type="spellStart"/>
            <w:r>
              <w:rPr>
                <w:rFonts w:ascii="Arial" w:hAnsi="Arial" w:cs="Arial"/>
                <w:sz w:val="20"/>
                <w:szCs w:val="20"/>
              </w:rPr>
              <w:t>podlimitu</w:t>
            </w:r>
            <w:proofErr w:type="spellEnd"/>
            <w:r>
              <w:rPr>
                <w:rFonts w:ascii="Arial" w:hAnsi="Arial" w:cs="Arial"/>
                <w:sz w:val="20"/>
                <w:szCs w:val="20"/>
              </w:rPr>
              <w:t xml:space="preserve"> odpowiedzialności.</w:t>
            </w:r>
          </w:p>
        </w:tc>
      </w:tr>
      <w:tr w:rsidR="00F33FDE" w14:paraId="4443E7E8" w14:textId="77777777">
        <w:tc>
          <w:tcPr>
            <w:tcW w:w="704" w:type="dxa"/>
          </w:tcPr>
          <w:p w14:paraId="73326F58"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70E680C5"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Franszyzy</w:t>
            </w:r>
          </w:p>
        </w:tc>
        <w:tc>
          <w:tcPr>
            <w:tcW w:w="5523" w:type="dxa"/>
          </w:tcPr>
          <w:p w14:paraId="55E704DE"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Wysokość i rodzaje franszyz powinny być zgodne </w:t>
            </w:r>
            <w:r>
              <w:rPr>
                <w:rFonts w:ascii="Arial" w:hAnsi="Arial" w:cs="Arial"/>
                <w:sz w:val="20"/>
                <w:szCs w:val="20"/>
              </w:rPr>
              <w:br/>
              <w:t xml:space="preserve">z aktualnym standardem rynkowym i uwzględniać charakter i rozmiar ryzyka związanego z realizacją Umowy oraz </w:t>
            </w:r>
            <w:r>
              <w:rPr>
                <w:rFonts w:ascii="Arial" w:hAnsi="Arial" w:cs="Arial"/>
                <w:sz w:val="20"/>
                <w:szCs w:val="20"/>
              </w:rPr>
              <w:lastRenderedPageBreak/>
              <w:t>potencjał Wykonawcy w zakresie pokrycia ewentualnych roszczeń we własnym zakresie.</w:t>
            </w:r>
          </w:p>
          <w:p w14:paraId="1AB2A9DE"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W każdym jednak wypadku wysokość franszyz powinna być określona w taki sposób, aby część roszczenia, którą </w:t>
            </w:r>
            <w:r>
              <w:rPr>
                <w:rFonts w:ascii="Arial" w:hAnsi="Arial" w:cs="Arial"/>
                <w:sz w:val="20"/>
                <w:szCs w:val="20"/>
              </w:rPr>
              <w:br/>
              <w:t>w wyniku ich zastosowania Wykonawca jest zobowiązany pokryć z własnych środków, nie przekraczała 5% minimalnej wymaganej sumy gwarancyjnej, jednak kwotowo nie więcej niż 100.000,00 PLN (słownie: sto tysięcy złotych) na jedno zdarzenie.</w:t>
            </w:r>
          </w:p>
          <w:p w14:paraId="532B6EBB"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W odniesieniu do szkód osobowych nie będzie występował udział własny/franszyza.</w:t>
            </w:r>
          </w:p>
        </w:tc>
      </w:tr>
      <w:tr w:rsidR="00F33FDE" w14:paraId="76EB1F68" w14:textId="77777777">
        <w:tc>
          <w:tcPr>
            <w:tcW w:w="704" w:type="dxa"/>
          </w:tcPr>
          <w:p w14:paraId="7C247F4D"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1F34ACE1"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Podstawowy zakres ubezpieczenia</w:t>
            </w:r>
          </w:p>
        </w:tc>
        <w:tc>
          <w:tcPr>
            <w:tcW w:w="5523" w:type="dxa"/>
          </w:tcPr>
          <w:p w14:paraId="42D8E99D" w14:textId="77777777" w:rsidR="00F33FDE" w:rsidRDefault="00F74668">
            <w:pPr>
              <w:spacing w:before="120" w:after="120" w:line="276" w:lineRule="auto"/>
              <w:rPr>
                <w:rFonts w:ascii="Arial" w:hAnsi="Arial" w:cs="Arial"/>
                <w:sz w:val="20"/>
                <w:szCs w:val="20"/>
              </w:rPr>
            </w:pPr>
            <w:r>
              <w:rPr>
                <w:rFonts w:ascii="Arial" w:hAnsi="Arial" w:cs="Arial"/>
                <w:sz w:val="20"/>
                <w:szCs w:val="20"/>
              </w:rPr>
              <w:t>Wymagane rozszerzenia o odpowiedzialność cywilną:</w:t>
            </w:r>
          </w:p>
          <w:p w14:paraId="1686F684" w14:textId="77777777" w:rsidR="00F33FDE" w:rsidRDefault="00F74668">
            <w:pPr>
              <w:pStyle w:val="Akapitzlist"/>
              <w:numPr>
                <w:ilvl w:val="0"/>
                <w:numId w:val="3"/>
              </w:numPr>
              <w:spacing w:before="120" w:after="120" w:line="240" w:lineRule="auto"/>
              <w:rPr>
                <w:rFonts w:ascii="Arial" w:hAnsi="Arial" w:cs="Arial"/>
                <w:sz w:val="20"/>
                <w:szCs w:val="20"/>
              </w:rPr>
            </w:pPr>
            <w:r>
              <w:rPr>
                <w:rFonts w:ascii="Arial" w:hAnsi="Arial" w:cs="Arial"/>
                <w:sz w:val="20"/>
                <w:szCs w:val="20"/>
              </w:rPr>
              <w:t>z tytułu szkód wyrządzonych w wyniku rażącego niedbalstwa,</w:t>
            </w:r>
          </w:p>
          <w:p w14:paraId="52ABEE8F" w14:textId="77777777" w:rsidR="00F33FDE" w:rsidRDefault="00F74668">
            <w:pPr>
              <w:pStyle w:val="Akapitzlist"/>
              <w:numPr>
                <w:ilvl w:val="0"/>
                <w:numId w:val="3"/>
              </w:numPr>
              <w:spacing w:before="120" w:after="120" w:line="240" w:lineRule="auto"/>
              <w:jc w:val="both"/>
              <w:rPr>
                <w:rFonts w:ascii="Arial" w:hAnsi="Arial" w:cs="Arial"/>
                <w:sz w:val="20"/>
                <w:szCs w:val="20"/>
              </w:rPr>
            </w:pPr>
            <w:r>
              <w:rPr>
                <w:rFonts w:ascii="Arial" w:hAnsi="Arial" w:cs="Arial"/>
                <w:sz w:val="20"/>
                <w:szCs w:val="20"/>
              </w:rPr>
              <w:t>ryzyko szkód powstałych po przekazaniu robót lub usług wynikłe nienależytego wykonania zobowiązania lub z czynu niedozwolonego (tzw. „</w:t>
            </w:r>
            <w:proofErr w:type="spellStart"/>
            <w:r>
              <w:rPr>
                <w:rFonts w:ascii="Arial" w:hAnsi="Arial" w:cs="Arial"/>
                <w:sz w:val="20"/>
                <w:szCs w:val="20"/>
              </w:rPr>
              <w:t>completed</w:t>
            </w:r>
            <w:proofErr w:type="spellEnd"/>
            <w:r>
              <w:rPr>
                <w:rFonts w:ascii="Arial" w:hAnsi="Arial" w:cs="Arial"/>
                <w:sz w:val="20"/>
                <w:szCs w:val="20"/>
              </w:rPr>
              <w:t xml:space="preserve"> </w:t>
            </w:r>
            <w:proofErr w:type="spellStart"/>
            <w:r>
              <w:rPr>
                <w:rFonts w:ascii="Arial" w:hAnsi="Arial" w:cs="Arial"/>
                <w:sz w:val="20"/>
                <w:szCs w:val="20"/>
              </w:rPr>
              <w:t>operations</w:t>
            </w:r>
            <w:proofErr w:type="spellEnd"/>
            <w:r>
              <w:rPr>
                <w:rFonts w:ascii="Arial" w:hAnsi="Arial" w:cs="Arial"/>
                <w:sz w:val="20"/>
                <w:szCs w:val="20"/>
              </w:rPr>
              <w:t>”),</w:t>
            </w:r>
          </w:p>
          <w:p w14:paraId="28EBBE2A" w14:textId="77777777" w:rsidR="00F33FDE" w:rsidRDefault="00F74668">
            <w:pPr>
              <w:pStyle w:val="Akapitzlist"/>
              <w:numPr>
                <w:ilvl w:val="0"/>
                <w:numId w:val="3"/>
              </w:numPr>
              <w:spacing w:before="120" w:after="120" w:line="240" w:lineRule="auto"/>
              <w:jc w:val="both"/>
              <w:rPr>
                <w:rFonts w:ascii="Arial" w:hAnsi="Arial" w:cs="Arial"/>
                <w:sz w:val="20"/>
                <w:szCs w:val="20"/>
              </w:rPr>
            </w:pPr>
            <w:r>
              <w:rPr>
                <w:rFonts w:ascii="Arial" w:hAnsi="Arial" w:cs="Arial"/>
                <w:sz w:val="20"/>
                <w:szCs w:val="20"/>
              </w:rPr>
              <w:t>ryzyko szkód w mieniu przekazanym w celu wykonania usługi, np. remontu, obróbki, budowy, odbudowy, naprawy, testów lub innych podobnych czynności lub prac,</w:t>
            </w:r>
          </w:p>
        </w:tc>
      </w:tr>
      <w:tr w:rsidR="00F33FDE" w14:paraId="186BB1DC" w14:textId="77777777">
        <w:tc>
          <w:tcPr>
            <w:tcW w:w="704" w:type="dxa"/>
          </w:tcPr>
          <w:p w14:paraId="3520C3EE"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450951B6"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Uzupełniający zakres ubezpieczenia</w:t>
            </w:r>
          </w:p>
        </w:tc>
        <w:tc>
          <w:tcPr>
            <w:tcW w:w="5523" w:type="dxa"/>
          </w:tcPr>
          <w:p w14:paraId="11907B34"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O ile wynika to z przedmiotu lub zakresu niniejszej Umowy, specyfiki wykonywanych w ramach jej realizacji prac, zadań oraz czynności lub też o ile jej realizacja przez Wykonawcę wiąże się z wystąpieniem któregokolwiek z wymienionych niżej ryzyk, do zakresu ubezpieczenia powinno zostać włączone:</w:t>
            </w:r>
          </w:p>
          <w:p w14:paraId="6ED32353"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wyrządzonych przez podwykonawców,</w:t>
            </w:r>
          </w:p>
          <w:p w14:paraId="34FF1227"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będących wynikiem błędów projektowych lub błędnie sporządzonej dokumentacji projektowej,</w:t>
            </w:r>
          </w:p>
          <w:p w14:paraId="38682455"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wyrządzonych przez maszyny budowlane, pojazdy wolnobieżne i inne niepodlegające obowiązkowemu ubezpieczeniu odpowiedzialności cywilnej posiadaczy pojazdów mechanicznych,</w:t>
            </w:r>
          </w:p>
          <w:p w14:paraId="0E469345"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w mieniu powierzonym (pozostającym </w:t>
            </w:r>
            <w:r>
              <w:rPr>
                <w:rFonts w:ascii="Arial" w:hAnsi="Arial" w:cs="Arial"/>
                <w:sz w:val="20"/>
                <w:szCs w:val="20"/>
              </w:rPr>
              <w:br/>
              <w:t xml:space="preserve">w pieczy lub pod kontrolą Wykonawcy)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30% minimalnej wymaganej sumy ubezpieczenia (gwarancyjnej),</w:t>
            </w:r>
          </w:p>
          <w:p w14:paraId="448C6EFF"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wyrządzonych we wszelkich instalacjach, urządzeniach podziemnych, w tym mediach,</w:t>
            </w:r>
          </w:p>
          <w:p w14:paraId="5A8AF790"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wyrządzonych przez produkt wprowadzony do obrotu,</w:t>
            </w:r>
          </w:p>
          <w:p w14:paraId="204841BB"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w nieruchomościach Zamawiającego, </w:t>
            </w:r>
            <w:r>
              <w:rPr>
                <w:rFonts w:ascii="Arial" w:hAnsi="Arial" w:cs="Arial"/>
                <w:sz w:val="20"/>
                <w:szCs w:val="20"/>
              </w:rPr>
              <w:br/>
              <w:t>z których Wykonawca korzysta na podstawie najmu, dzierżawy, użytkowania, użyczenia, leasingu lub innej podobnej formy korzystania z cudzej rzeczy,</w:t>
            </w:r>
          </w:p>
          <w:p w14:paraId="0F0E646D"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lastRenderedPageBreak/>
              <w:t xml:space="preserve">ryzyko szkód w ruchomościach Zamawiającego, </w:t>
            </w:r>
            <w:r>
              <w:rPr>
                <w:rFonts w:ascii="Arial" w:hAnsi="Arial" w:cs="Arial"/>
                <w:sz w:val="20"/>
                <w:szCs w:val="20"/>
              </w:rPr>
              <w:br/>
              <w:t xml:space="preserve">z których Wykonawca korzysta na podstawie najmu, dzierżawy, użytkowania, użyczenia, leasingu lub innej podobnej formy korzystania z cudzej rzeczy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30% minimalnej wymaganej sumy ubezpieczenia (gwarancyjnej),</w:t>
            </w:r>
          </w:p>
          <w:p w14:paraId="362F53A2"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spowodowanych osunięciem lub zapadaniem się ziemi,</w:t>
            </w:r>
          </w:p>
          <w:p w14:paraId="50A843DE"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spowodowanych przez prace wyburzeniowe, rozbiórkowe, </w:t>
            </w:r>
          </w:p>
          <w:p w14:paraId="62408991"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spowodowanych przez działanie młotów pneumatycznych, </w:t>
            </w:r>
          </w:p>
          <w:p w14:paraId="60EA6B6C"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spowodowanych przez działanie środków wybuchowych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20% minimalnej wymaganej sumy ubezpieczenia (gwarancyjnej),</w:t>
            </w:r>
          </w:p>
          <w:p w14:paraId="1C27EFB8"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powstałych wskutek cofnięcia się cieczy w systemach kanalizacyjnych,</w:t>
            </w:r>
          </w:p>
          <w:p w14:paraId="43242562"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spowodowanych wibracją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30% minimalnej wymaganej sumy ubezpieczenia (gwarancyjnej),</w:t>
            </w:r>
          </w:p>
          <w:p w14:paraId="5CBAFBA3"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powstałych podczas załadunku </w:t>
            </w:r>
            <w:r>
              <w:rPr>
                <w:rFonts w:ascii="Arial" w:hAnsi="Arial" w:cs="Arial"/>
                <w:sz w:val="20"/>
                <w:szCs w:val="20"/>
              </w:rPr>
              <w:br/>
              <w:t xml:space="preserve">i rozładunku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30% minimalnej wymaganej sumy ubezpieczenia (gwarancyjnej),</w:t>
            </w:r>
          </w:p>
          <w:p w14:paraId="0C5490A8"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w środowisku naturalnym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30% minimalnej wymaganej sumy ubezpieczenia (gwarancyjnej),</w:t>
            </w:r>
          </w:p>
          <w:p w14:paraId="233E3AD9"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 xml:space="preserve">ryzyko szkód powstałych w wyniku składowania odpadów – dopuszczalny </w:t>
            </w:r>
            <w:proofErr w:type="spellStart"/>
            <w:r>
              <w:rPr>
                <w:rFonts w:ascii="Arial" w:hAnsi="Arial" w:cs="Arial"/>
                <w:sz w:val="20"/>
                <w:szCs w:val="20"/>
              </w:rPr>
              <w:t>podlimit</w:t>
            </w:r>
            <w:proofErr w:type="spellEnd"/>
            <w:r>
              <w:rPr>
                <w:rFonts w:ascii="Arial" w:hAnsi="Arial" w:cs="Arial"/>
                <w:sz w:val="20"/>
                <w:szCs w:val="20"/>
              </w:rPr>
              <w:t xml:space="preserve"> odpowiedzialności nie niższy niż 30% minimalnej wymaganej sumy ubezpieczenia (gwarancyjnej),</w:t>
            </w:r>
          </w:p>
          <w:p w14:paraId="25646B0E" w14:textId="77777777" w:rsidR="00F33FDE" w:rsidRDefault="00F74668">
            <w:pPr>
              <w:pStyle w:val="Akapitzlist"/>
              <w:numPr>
                <w:ilvl w:val="0"/>
                <w:numId w:val="4"/>
              </w:numPr>
              <w:spacing w:before="120" w:after="120" w:line="240" w:lineRule="auto"/>
              <w:jc w:val="both"/>
              <w:rPr>
                <w:rFonts w:ascii="Arial" w:hAnsi="Arial" w:cs="Arial"/>
                <w:sz w:val="20"/>
                <w:szCs w:val="20"/>
              </w:rPr>
            </w:pPr>
            <w:r>
              <w:rPr>
                <w:rFonts w:ascii="Arial" w:hAnsi="Arial" w:cs="Arial"/>
                <w:sz w:val="20"/>
                <w:szCs w:val="20"/>
              </w:rPr>
              <w:t>ryzyko szkód poniesionych przez pracowników zaangażowanych w realizację Umowy (OC Pracodawcy),</w:t>
            </w:r>
          </w:p>
        </w:tc>
      </w:tr>
      <w:tr w:rsidR="00F33FDE" w14:paraId="490BDA34" w14:textId="77777777">
        <w:tc>
          <w:tcPr>
            <w:tcW w:w="704" w:type="dxa"/>
          </w:tcPr>
          <w:p w14:paraId="7692FA1E"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7F924FC0"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Wyłączenia odpowiedzialności</w:t>
            </w:r>
          </w:p>
        </w:tc>
        <w:tc>
          <w:tcPr>
            <w:tcW w:w="5523" w:type="dxa"/>
          </w:tcPr>
          <w:p w14:paraId="2B0A6686"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Wyłączenia odpowiedzialności są dopuszczalne w zakresie zgodnym z aktualną dobrą praktyką rynkową.</w:t>
            </w:r>
          </w:p>
        </w:tc>
      </w:tr>
      <w:tr w:rsidR="00F33FDE" w14:paraId="0515AB49" w14:textId="77777777">
        <w:tc>
          <w:tcPr>
            <w:tcW w:w="704" w:type="dxa"/>
          </w:tcPr>
          <w:p w14:paraId="66BEC738" w14:textId="77777777" w:rsidR="00F33FDE" w:rsidRDefault="00F33FDE">
            <w:pPr>
              <w:pStyle w:val="Akapitzlist"/>
              <w:numPr>
                <w:ilvl w:val="0"/>
                <w:numId w:val="1"/>
              </w:numPr>
              <w:spacing w:before="120" w:after="120" w:line="276" w:lineRule="auto"/>
              <w:ind w:left="454"/>
              <w:jc w:val="both"/>
              <w:rPr>
                <w:rFonts w:ascii="Arial" w:hAnsi="Arial" w:cs="Arial"/>
                <w:sz w:val="20"/>
                <w:szCs w:val="20"/>
              </w:rPr>
            </w:pPr>
          </w:p>
        </w:tc>
        <w:tc>
          <w:tcPr>
            <w:tcW w:w="2835" w:type="dxa"/>
          </w:tcPr>
          <w:p w14:paraId="3FED9060"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Zakres terytorialny</w:t>
            </w:r>
          </w:p>
        </w:tc>
        <w:tc>
          <w:tcPr>
            <w:tcW w:w="5523" w:type="dxa"/>
          </w:tcPr>
          <w:p w14:paraId="17C89555"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Rzeczpospolita Polska, o ile w związku z wykonywaniem niniejszej Umowy Wykonawca nie będzie prowadził działalności lub użytkował mienia poza jej granicami. </w:t>
            </w:r>
            <w:r>
              <w:rPr>
                <w:rFonts w:ascii="Arial" w:hAnsi="Arial" w:cs="Arial"/>
                <w:sz w:val="20"/>
                <w:szCs w:val="20"/>
              </w:rPr>
              <w:br/>
              <w:t>W takim wypadku zakres terytorialny powinien zostać odpowiednio rozszerzony.</w:t>
            </w:r>
          </w:p>
        </w:tc>
      </w:tr>
    </w:tbl>
    <w:p w14:paraId="2B58B4FC" w14:textId="77777777" w:rsidR="00F33FDE" w:rsidRDefault="00F33FDE">
      <w:pPr>
        <w:spacing w:line="360" w:lineRule="auto"/>
        <w:jc w:val="both"/>
        <w:rPr>
          <w:rFonts w:ascii="Arial" w:hAnsi="Arial" w:cs="Arial"/>
          <w:sz w:val="20"/>
          <w:szCs w:val="20"/>
        </w:rPr>
      </w:pPr>
    </w:p>
    <w:p w14:paraId="0523FA7F" w14:textId="77777777" w:rsidR="00F33FDE" w:rsidRDefault="00F74668">
      <w:pPr>
        <w:rPr>
          <w:rFonts w:ascii="Arial" w:hAnsi="Arial" w:cs="Arial"/>
          <w:sz w:val="20"/>
          <w:szCs w:val="20"/>
        </w:rPr>
      </w:pPr>
      <w:r>
        <w:br w:type="page"/>
      </w:r>
    </w:p>
    <w:p w14:paraId="504D9089" w14:textId="77777777" w:rsidR="00F33FDE" w:rsidRDefault="00F74668">
      <w:pPr>
        <w:spacing w:line="360" w:lineRule="auto"/>
        <w:jc w:val="both"/>
        <w:rPr>
          <w:rFonts w:ascii="Arial" w:hAnsi="Arial" w:cs="Arial"/>
          <w:sz w:val="20"/>
          <w:szCs w:val="20"/>
        </w:rPr>
      </w:pPr>
      <w:r>
        <w:rPr>
          <w:rFonts w:ascii="Arial" w:hAnsi="Arial" w:cs="Arial"/>
          <w:sz w:val="20"/>
          <w:szCs w:val="20"/>
        </w:rPr>
        <w:lastRenderedPageBreak/>
        <w:t>TABELA NR 2</w:t>
      </w:r>
    </w:p>
    <w:p w14:paraId="4AAEACAA" w14:textId="77777777" w:rsidR="00F33FDE" w:rsidRDefault="00F74668">
      <w:pPr>
        <w:spacing w:line="360" w:lineRule="auto"/>
        <w:jc w:val="both"/>
        <w:rPr>
          <w:rFonts w:ascii="Arial" w:hAnsi="Arial" w:cs="Arial"/>
          <w:sz w:val="20"/>
          <w:szCs w:val="20"/>
        </w:rPr>
      </w:pPr>
      <w:r>
        <w:rPr>
          <w:rFonts w:ascii="Arial" w:hAnsi="Arial" w:cs="Arial"/>
          <w:sz w:val="20"/>
          <w:szCs w:val="20"/>
        </w:rPr>
        <w:t>MINIMALNE WYMAGANE WARUNKI UBEZPIECZENIA MIENIA W TRANSPORCIE (CARGO)</w:t>
      </w:r>
    </w:p>
    <w:tbl>
      <w:tblPr>
        <w:tblStyle w:val="Tabela-Siatka"/>
        <w:tblW w:w="9062" w:type="dxa"/>
        <w:tblLook w:val="04A0" w:firstRow="1" w:lastRow="0" w:firstColumn="1" w:lastColumn="0" w:noHBand="0" w:noVBand="1"/>
      </w:tblPr>
      <w:tblGrid>
        <w:gridCol w:w="704"/>
        <w:gridCol w:w="2835"/>
        <w:gridCol w:w="5523"/>
      </w:tblGrid>
      <w:tr w:rsidR="00F33FDE" w14:paraId="4E718CB4" w14:textId="77777777">
        <w:tc>
          <w:tcPr>
            <w:tcW w:w="704" w:type="dxa"/>
            <w:shd w:val="clear" w:color="auto" w:fill="D9D9D9" w:themeFill="background1" w:themeFillShade="D9"/>
          </w:tcPr>
          <w:p w14:paraId="2A22C7E2"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Lp.</w:t>
            </w:r>
          </w:p>
        </w:tc>
        <w:tc>
          <w:tcPr>
            <w:tcW w:w="2835" w:type="dxa"/>
            <w:shd w:val="clear" w:color="auto" w:fill="D9D9D9" w:themeFill="background1" w:themeFillShade="D9"/>
          </w:tcPr>
          <w:p w14:paraId="135ADF94"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Zagadnienie</w:t>
            </w:r>
          </w:p>
        </w:tc>
        <w:tc>
          <w:tcPr>
            <w:tcW w:w="5523" w:type="dxa"/>
            <w:shd w:val="clear" w:color="auto" w:fill="D9D9D9" w:themeFill="background1" w:themeFillShade="D9"/>
          </w:tcPr>
          <w:p w14:paraId="203FE644"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Minimalny wymóg</w:t>
            </w:r>
          </w:p>
        </w:tc>
      </w:tr>
      <w:tr w:rsidR="00F33FDE" w14:paraId="212F605D" w14:textId="77777777">
        <w:tc>
          <w:tcPr>
            <w:tcW w:w="704" w:type="dxa"/>
          </w:tcPr>
          <w:p w14:paraId="752FB299"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41E39649"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Rodzaj umowy</w:t>
            </w:r>
          </w:p>
        </w:tc>
        <w:tc>
          <w:tcPr>
            <w:tcW w:w="5523" w:type="dxa"/>
            <w:vAlign w:val="center"/>
          </w:tcPr>
          <w:p w14:paraId="53094E5A"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Umowa ubezpieczenia powinna zostać zawarta w formie polisy obrotowej „pod kontrakt”, tj. wyłącznie na potrzeby realizacji dostaw będących przedmiotem niniejszej Umowy.</w:t>
            </w:r>
          </w:p>
          <w:p w14:paraId="270FB8C0"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Dopuszcza się przedstawienie polisy generalnej obejmującej wszystkie transporty wykonywane na ryzyko Wykonawcy </w:t>
            </w:r>
            <w:r>
              <w:rPr>
                <w:rFonts w:ascii="Arial" w:hAnsi="Arial" w:cs="Arial"/>
                <w:sz w:val="20"/>
                <w:szCs w:val="20"/>
              </w:rPr>
              <w:br/>
              <w:t xml:space="preserve">w związku z jego działalnością pod warunkiem odrębnego potwierdzenia przez ubezpieczyciela objęcia ochroną ubezpieczeniową wszystkich transportów realizowanych </w:t>
            </w:r>
            <w:r>
              <w:rPr>
                <w:rFonts w:ascii="Arial" w:hAnsi="Arial" w:cs="Arial"/>
                <w:sz w:val="20"/>
                <w:szCs w:val="20"/>
              </w:rPr>
              <w:br/>
              <w:t>w związku z wykonaniem niniejszej Umowy.</w:t>
            </w:r>
          </w:p>
        </w:tc>
      </w:tr>
      <w:tr w:rsidR="00F33FDE" w14:paraId="65ED8ACD" w14:textId="77777777">
        <w:tc>
          <w:tcPr>
            <w:tcW w:w="704" w:type="dxa"/>
          </w:tcPr>
          <w:p w14:paraId="3190959F"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12C8B354"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Ubezpieczony</w:t>
            </w:r>
          </w:p>
        </w:tc>
        <w:tc>
          <w:tcPr>
            <w:tcW w:w="5523" w:type="dxa"/>
            <w:vAlign w:val="center"/>
          </w:tcPr>
          <w:p w14:paraId="38946AB1"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Ubezpieczonym będzie podmiot, który ponosi ryzyko utraty lub uszkodzenia mienia w okresie od rozpoczęcia załadunku do zakończenia rozładunku w miejscu docelowym.</w:t>
            </w:r>
          </w:p>
          <w:p w14:paraId="30CDE596"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Ochrona ubezpieczeniowa udzielana bez konieczności odrębnego zgłaszania transportów do ubezpieczenia.</w:t>
            </w:r>
          </w:p>
        </w:tc>
      </w:tr>
      <w:tr w:rsidR="00F33FDE" w14:paraId="3189A7C5" w14:textId="77777777">
        <w:tc>
          <w:tcPr>
            <w:tcW w:w="704" w:type="dxa"/>
          </w:tcPr>
          <w:p w14:paraId="64F2B61C"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4E412FA1"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Zakres ubezpieczenia</w:t>
            </w:r>
          </w:p>
        </w:tc>
        <w:tc>
          <w:tcPr>
            <w:tcW w:w="5523" w:type="dxa"/>
            <w:vAlign w:val="center"/>
          </w:tcPr>
          <w:p w14:paraId="35CD1D10"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Ubezpieczenie obejmować będzie wszystkie rodzaje transportu realizowane w ramach Umowy niezależnie od lokalizacji, w którym będzie znajdować się transportowane mienie.</w:t>
            </w:r>
          </w:p>
          <w:p w14:paraId="18E0C608"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Ubezpieczenie obejmować będzie także szkody powstałe </w:t>
            </w:r>
            <w:r>
              <w:rPr>
                <w:rFonts w:ascii="Arial" w:hAnsi="Arial" w:cs="Arial"/>
                <w:sz w:val="20"/>
                <w:szCs w:val="20"/>
              </w:rPr>
              <w:br/>
              <w:t xml:space="preserve">w trakcie czynności </w:t>
            </w:r>
            <w:proofErr w:type="spellStart"/>
            <w:r>
              <w:rPr>
                <w:rFonts w:ascii="Arial" w:hAnsi="Arial" w:cs="Arial"/>
                <w:sz w:val="20"/>
                <w:szCs w:val="20"/>
              </w:rPr>
              <w:t>międzyskładkowania</w:t>
            </w:r>
            <w:proofErr w:type="spellEnd"/>
            <w:r>
              <w:rPr>
                <w:rFonts w:ascii="Arial" w:hAnsi="Arial" w:cs="Arial"/>
                <w:sz w:val="20"/>
                <w:szCs w:val="20"/>
              </w:rPr>
              <w:t xml:space="preserve"> w czasie transportu, załadunku przeładunku lub rozładunku niezależnie od lokalizacji realizowania ww. czynności.</w:t>
            </w:r>
          </w:p>
          <w:p w14:paraId="0219E4DF"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Zakres ubezpieczenia na bazie ubezpieczenia „od wszystkich ryzyk”.</w:t>
            </w:r>
          </w:p>
          <w:p w14:paraId="366DE8D3"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W przypadku transportu międzynarodowego lub morskiego ubezpieczenie powinno zostać zawarte zgodnie ze standardem klauzuli ICC A (instytutowa klauzula ładunkowa).</w:t>
            </w:r>
          </w:p>
        </w:tc>
      </w:tr>
      <w:tr w:rsidR="00F33FDE" w14:paraId="062BB60D" w14:textId="77777777">
        <w:tc>
          <w:tcPr>
            <w:tcW w:w="704" w:type="dxa"/>
          </w:tcPr>
          <w:p w14:paraId="08F5F521"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5EC9AE2E"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Wyłączenia odpowiedzialności</w:t>
            </w:r>
          </w:p>
        </w:tc>
        <w:tc>
          <w:tcPr>
            <w:tcW w:w="5523" w:type="dxa"/>
          </w:tcPr>
          <w:p w14:paraId="7A2C0794"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Wyłączenia odpowiedzialności są dopuszczalne w zakresie zgodnym z aktualną dobrą praktyką rynkową.</w:t>
            </w:r>
          </w:p>
        </w:tc>
      </w:tr>
      <w:tr w:rsidR="00F33FDE" w14:paraId="19F149C8" w14:textId="77777777">
        <w:tc>
          <w:tcPr>
            <w:tcW w:w="704" w:type="dxa"/>
          </w:tcPr>
          <w:p w14:paraId="55F3B8CF"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0205BDDC" w14:textId="77777777" w:rsidR="00F33FDE" w:rsidRDefault="00F74668">
            <w:pPr>
              <w:spacing w:before="120" w:after="120" w:line="276" w:lineRule="auto"/>
              <w:contextualSpacing/>
              <w:rPr>
                <w:rFonts w:ascii="Arial" w:eastAsia="Times New Roman" w:hAnsi="Arial" w:cs="Arial"/>
                <w:sz w:val="20"/>
                <w:szCs w:val="20"/>
              </w:rPr>
            </w:pPr>
            <w:r>
              <w:rPr>
                <w:rFonts w:ascii="Arial" w:hAnsi="Arial" w:cs="Arial"/>
                <w:sz w:val="20"/>
                <w:szCs w:val="20"/>
              </w:rPr>
              <w:t xml:space="preserve">Suma ubezpieczenia. </w:t>
            </w:r>
          </w:p>
        </w:tc>
        <w:tc>
          <w:tcPr>
            <w:tcW w:w="5523" w:type="dxa"/>
          </w:tcPr>
          <w:p w14:paraId="3151608A"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Suma ubezpieczenia będzie odpowiadać, co najmniej wartości odtworzeniowej przewożonego mienia, powiększonej o ewentualne koszty dodatkowe, </w:t>
            </w:r>
            <w:r>
              <w:rPr>
                <w:rFonts w:ascii="Arial" w:hAnsi="Arial" w:cs="Arial"/>
                <w:sz w:val="20"/>
                <w:szCs w:val="20"/>
              </w:rPr>
              <w:br/>
              <w:t xml:space="preserve">w szczególności: podatki, cła, koszty transportu </w:t>
            </w:r>
            <w:r>
              <w:rPr>
                <w:rFonts w:ascii="Arial" w:hAnsi="Arial" w:cs="Arial"/>
                <w:sz w:val="20"/>
                <w:szCs w:val="20"/>
              </w:rPr>
              <w:br/>
              <w:t>i ubezpieczenia.</w:t>
            </w:r>
          </w:p>
        </w:tc>
      </w:tr>
      <w:tr w:rsidR="00F33FDE" w14:paraId="08590584" w14:textId="77777777">
        <w:tc>
          <w:tcPr>
            <w:tcW w:w="704" w:type="dxa"/>
          </w:tcPr>
          <w:p w14:paraId="58A83840"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4882CABD"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Franszyzy</w:t>
            </w:r>
          </w:p>
        </w:tc>
        <w:tc>
          <w:tcPr>
            <w:tcW w:w="5523" w:type="dxa"/>
          </w:tcPr>
          <w:p w14:paraId="5CA8862E"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Wysokość i rodzaje franszyz powinny być zgodne </w:t>
            </w:r>
            <w:r>
              <w:rPr>
                <w:rFonts w:ascii="Arial" w:hAnsi="Arial" w:cs="Arial"/>
                <w:sz w:val="20"/>
                <w:szCs w:val="20"/>
              </w:rPr>
              <w:br/>
              <w:t>z aktualnym standardem rynkowym i uwzględniać charakter i rozmiar ryzyka związanego z realizacją Umowy oraz potencjał Wykonawcy w zakresie pokrycia ewentualnych roszczeń we własnym zakresie.</w:t>
            </w:r>
          </w:p>
          <w:p w14:paraId="48308487"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lastRenderedPageBreak/>
              <w:t xml:space="preserve">W każdym jednak wypadku wysokość franszyz powinna być określona w taki sposób, aby szkody, którą w wyniku ich zastosowania ubezpieczony jest zobowiązany pokryć </w:t>
            </w:r>
            <w:r>
              <w:rPr>
                <w:rFonts w:ascii="Arial" w:hAnsi="Arial" w:cs="Arial"/>
                <w:sz w:val="20"/>
                <w:szCs w:val="20"/>
              </w:rPr>
              <w:br/>
              <w:t>z własnych środków, nie przekraczała 5% wartości odszkodowania, jednak kwotowo nie więcej niż 100.000,00 PLN (słownie: sto tysięcy złotych) na jedno zdarzenie.</w:t>
            </w:r>
          </w:p>
        </w:tc>
      </w:tr>
      <w:tr w:rsidR="00F33FDE" w14:paraId="5691A19A" w14:textId="77777777">
        <w:tc>
          <w:tcPr>
            <w:tcW w:w="704" w:type="dxa"/>
          </w:tcPr>
          <w:p w14:paraId="5A353D97"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4788C33D"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Limit odpowiedzialności na jeden środek transportu.</w:t>
            </w:r>
          </w:p>
        </w:tc>
        <w:tc>
          <w:tcPr>
            <w:tcW w:w="5523" w:type="dxa"/>
          </w:tcPr>
          <w:p w14:paraId="64B6DEE3"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Limit odpowiedzialności ubezpieczyciela na jeden środek transportu odpowiada maksymalnej wartości mienia transportowanego w związku z realizacją Umowy, odpowiadającej, co najmniej jego wartości odtworzeniowej, powiększonej o ewentualne koszty dodatkowe, </w:t>
            </w:r>
            <w:r>
              <w:rPr>
                <w:rFonts w:ascii="Arial" w:hAnsi="Arial" w:cs="Arial"/>
                <w:sz w:val="20"/>
                <w:szCs w:val="20"/>
              </w:rPr>
              <w:br/>
              <w:t xml:space="preserve">w szczególności: podatki, cła, koszty transportu </w:t>
            </w:r>
            <w:r>
              <w:rPr>
                <w:rFonts w:ascii="Arial" w:hAnsi="Arial" w:cs="Arial"/>
                <w:sz w:val="20"/>
                <w:szCs w:val="20"/>
              </w:rPr>
              <w:br/>
              <w:t>i ubezpieczenia.</w:t>
            </w:r>
          </w:p>
        </w:tc>
      </w:tr>
      <w:tr w:rsidR="00F33FDE" w14:paraId="79C5A5A7" w14:textId="77777777">
        <w:tc>
          <w:tcPr>
            <w:tcW w:w="704" w:type="dxa"/>
          </w:tcPr>
          <w:p w14:paraId="2BF16371"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6680BF5D"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Regres ubezpieczeniowy</w:t>
            </w:r>
          </w:p>
        </w:tc>
        <w:tc>
          <w:tcPr>
            <w:tcW w:w="5523" w:type="dxa"/>
          </w:tcPr>
          <w:p w14:paraId="743A4067"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Ubezpieczyciel zrzeknie się prawa do regresu ubezpieczeniowego wobec Zamawiającego z tytułu odszkodowań wypłaconych w związku z realizacją Umowy.</w:t>
            </w:r>
          </w:p>
        </w:tc>
      </w:tr>
      <w:tr w:rsidR="00F33FDE" w14:paraId="4310CEBA" w14:textId="77777777">
        <w:tc>
          <w:tcPr>
            <w:tcW w:w="704" w:type="dxa"/>
          </w:tcPr>
          <w:p w14:paraId="2E70E9C9" w14:textId="77777777" w:rsidR="00F33FDE" w:rsidRDefault="00F33FDE">
            <w:pPr>
              <w:pStyle w:val="Akapitzlist"/>
              <w:numPr>
                <w:ilvl w:val="0"/>
                <w:numId w:val="5"/>
              </w:numPr>
              <w:spacing w:before="120" w:after="120" w:line="276" w:lineRule="auto"/>
              <w:ind w:left="454"/>
              <w:jc w:val="both"/>
              <w:rPr>
                <w:rFonts w:ascii="Arial" w:hAnsi="Arial" w:cs="Arial"/>
                <w:sz w:val="20"/>
                <w:szCs w:val="20"/>
              </w:rPr>
            </w:pPr>
          </w:p>
        </w:tc>
        <w:tc>
          <w:tcPr>
            <w:tcW w:w="2835" w:type="dxa"/>
          </w:tcPr>
          <w:p w14:paraId="3CC59013"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Zakres terytorialny</w:t>
            </w:r>
          </w:p>
        </w:tc>
        <w:tc>
          <w:tcPr>
            <w:tcW w:w="5523" w:type="dxa"/>
          </w:tcPr>
          <w:p w14:paraId="0234EA65"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Zakres terytorialny zgodny z zakresem terytorialnym ubezpieczonych transportów.</w:t>
            </w:r>
          </w:p>
        </w:tc>
      </w:tr>
    </w:tbl>
    <w:p w14:paraId="76D78B96" w14:textId="77777777" w:rsidR="00F33FDE" w:rsidRDefault="00F33FDE">
      <w:pPr>
        <w:pStyle w:val="Akapitzlist"/>
        <w:spacing w:line="360" w:lineRule="auto"/>
        <w:ind w:left="360"/>
        <w:jc w:val="both"/>
        <w:rPr>
          <w:rFonts w:ascii="Arial" w:hAnsi="Arial" w:cs="Arial"/>
          <w:sz w:val="20"/>
          <w:szCs w:val="20"/>
        </w:rPr>
      </w:pPr>
    </w:p>
    <w:p w14:paraId="4612FE6A" w14:textId="77777777" w:rsidR="00F33FDE" w:rsidRDefault="00F74668">
      <w:pPr>
        <w:rPr>
          <w:rFonts w:ascii="Arial" w:hAnsi="Arial" w:cs="Arial"/>
          <w:sz w:val="20"/>
          <w:szCs w:val="20"/>
        </w:rPr>
      </w:pPr>
      <w:r>
        <w:br w:type="page"/>
      </w:r>
    </w:p>
    <w:p w14:paraId="61B70B56" w14:textId="77777777" w:rsidR="00F33FDE" w:rsidRDefault="00F74668">
      <w:pPr>
        <w:spacing w:line="360" w:lineRule="auto"/>
        <w:jc w:val="both"/>
        <w:rPr>
          <w:rFonts w:ascii="Arial" w:hAnsi="Arial" w:cs="Arial"/>
          <w:sz w:val="20"/>
          <w:szCs w:val="20"/>
        </w:rPr>
      </w:pPr>
      <w:r>
        <w:rPr>
          <w:rFonts w:ascii="Arial" w:hAnsi="Arial" w:cs="Arial"/>
          <w:sz w:val="20"/>
          <w:szCs w:val="20"/>
        </w:rPr>
        <w:lastRenderedPageBreak/>
        <w:t xml:space="preserve">TABELA NR 3 </w:t>
      </w:r>
    </w:p>
    <w:p w14:paraId="463AD27C" w14:textId="77777777" w:rsidR="00F33FDE" w:rsidRDefault="00F74668">
      <w:pPr>
        <w:spacing w:line="360" w:lineRule="auto"/>
        <w:jc w:val="both"/>
        <w:rPr>
          <w:rFonts w:ascii="Arial" w:hAnsi="Arial" w:cs="Arial"/>
          <w:sz w:val="20"/>
          <w:szCs w:val="20"/>
        </w:rPr>
      </w:pPr>
      <w:r>
        <w:rPr>
          <w:rFonts w:ascii="Arial" w:hAnsi="Arial" w:cs="Arial"/>
          <w:sz w:val="20"/>
          <w:szCs w:val="20"/>
        </w:rPr>
        <w:t>SZCZEGÓŁOWE INFORMACJE O WARUNKACH I PODSTAWOWYCH PARAMETRACH ZAWARTEJ PRZEZ ZAMAWIAJĄCEGO I AKTUALNIE OBOWIĄZUJĄCEJ UMOWY UBEZPIECZENIA WSZYSTKICH RYZYK BUDOWY I MONTAŻU (CAR/EAR))</w:t>
      </w:r>
    </w:p>
    <w:tbl>
      <w:tblPr>
        <w:tblStyle w:val="Tabela-Siatka"/>
        <w:tblW w:w="9062" w:type="dxa"/>
        <w:tblLook w:val="04A0" w:firstRow="1" w:lastRow="0" w:firstColumn="1" w:lastColumn="0" w:noHBand="0" w:noVBand="1"/>
      </w:tblPr>
      <w:tblGrid>
        <w:gridCol w:w="704"/>
        <w:gridCol w:w="2835"/>
        <w:gridCol w:w="5523"/>
      </w:tblGrid>
      <w:tr w:rsidR="00F33FDE" w14:paraId="5AEFDA2C" w14:textId="77777777">
        <w:tc>
          <w:tcPr>
            <w:tcW w:w="704" w:type="dxa"/>
            <w:shd w:val="clear" w:color="auto" w:fill="D9D9D9" w:themeFill="background1" w:themeFillShade="D9"/>
            <w:vAlign w:val="center"/>
          </w:tcPr>
          <w:p w14:paraId="59A9BCA2"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Lp.</w:t>
            </w:r>
          </w:p>
        </w:tc>
        <w:tc>
          <w:tcPr>
            <w:tcW w:w="2835" w:type="dxa"/>
            <w:shd w:val="clear" w:color="auto" w:fill="D9D9D9" w:themeFill="background1" w:themeFillShade="D9"/>
            <w:vAlign w:val="center"/>
          </w:tcPr>
          <w:p w14:paraId="5FB667AB"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 xml:space="preserve">Postanowienia umowy ubezpieczenia CAR/EAR zapewnianej przez Zamawiającego </w:t>
            </w:r>
          </w:p>
        </w:tc>
        <w:tc>
          <w:tcPr>
            <w:tcW w:w="5523" w:type="dxa"/>
            <w:shd w:val="clear" w:color="auto" w:fill="D9D9D9" w:themeFill="background1" w:themeFillShade="D9"/>
            <w:vAlign w:val="center"/>
          </w:tcPr>
          <w:p w14:paraId="73B3FCA2" w14:textId="77777777" w:rsidR="00F33FDE" w:rsidRDefault="00F74668">
            <w:pPr>
              <w:spacing w:before="120" w:after="120" w:line="276" w:lineRule="auto"/>
              <w:contextualSpacing/>
              <w:jc w:val="center"/>
              <w:rPr>
                <w:rFonts w:ascii="Arial" w:hAnsi="Arial" w:cs="Arial"/>
                <w:sz w:val="20"/>
                <w:szCs w:val="20"/>
              </w:rPr>
            </w:pPr>
            <w:r>
              <w:rPr>
                <w:rFonts w:ascii="Arial" w:hAnsi="Arial" w:cs="Arial"/>
                <w:sz w:val="20"/>
                <w:szCs w:val="20"/>
              </w:rPr>
              <w:t>Standard</w:t>
            </w:r>
          </w:p>
        </w:tc>
      </w:tr>
      <w:tr w:rsidR="00F33FDE" w14:paraId="3209C83D" w14:textId="77777777">
        <w:tc>
          <w:tcPr>
            <w:tcW w:w="704" w:type="dxa"/>
          </w:tcPr>
          <w:p w14:paraId="3E91A59F" w14:textId="77777777" w:rsidR="00F33FDE" w:rsidRDefault="00F33FDE">
            <w:pPr>
              <w:pStyle w:val="Akapitzlist"/>
              <w:numPr>
                <w:ilvl w:val="0"/>
                <w:numId w:val="7"/>
              </w:numPr>
              <w:spacing w:before="120" w:after="120" w:line="276" w:lineRule="auto"/>
              <w:jc w:val="both"/>
              <w:rPr>
                <w:rFonts w:ascii="Arial" w:hAnsi="Arial" w:cs="Arial"/>
                <w:sz w:val="20"/>
                <w:szCs w:val="20"/>
              </w:rPr>
            </w:pPr>
          </w:p>
        </w:tc>
        <w:tc>
          <w:tcPr>
            <w:tcW w:w="2835" w:type="dxa"/>
          </w:tcPr>
          <w:p w14:paraId="748BA438"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Ubezpieczony</w:t>
            </w:r>
          </w:p>
        </w:tc>
        <w:tc>
          <w:tcPr>
            <w:tcW w:w="5523" w:type="dxa"/>
            <w:vAlign w:val="center"/>
          </w:tcPr>
          <w:p w14:paraId="2C27E1EB" w14:textId="77777777" w:rsidR="00F33FDE" w:rsidRDefault="00F74668">
            <w:pPr>
              <w:pStyle w:val="Akapitzlist"/>
              <w:numPr>
                <w:ilvl w:val="0"/>
                <w:numId w:val="6"/>
              </w:numPr>
              <w:spacing w:before="120" w:after="120" w:line="276" w:lineRule="auto"/>
              <w:ind w:left="459"/>
              <w:jc w:val="both"/>
              <w:rPr>
                <w:rFonts w:ascii="Arial" w:hAnsi="Arial" w:cs="Arial"/>
                <w:sz w:val="20"/>
                <w:szCs w:val="20"/>
              </w:rPr>
            </w:pPr>
            <w:r>
              <w:rPr>
                <w:rFonts w:ascii="Arial" w:hAnsi="Arial" w:cs="Arial"/>
                <w:sz w:val="20"/>
                <w:szCs w:val="20"/>
              </w:rPr>
              <w:t>Zamawiający,</w:t>
            </w:r>
          </w:p>
          <w:p w14:paraId="1112CBAA" w14:textId="77777777" w:rsidR="00F33FDE" w:rsidRDefault="00F74668">
            <w:pPr>
              <w:pStyle w:val="Akapitzlist"/>
              <w:numPr>
                <w:ilvl w:val="0"/>
                <w:numId w:val="6"/>
              </w:numPr>
              <w:spacing w:before="120" w:after="120" w:line="276" w:lineRule="auto"/>
              <w:ind w:left="459"/>
              <w:jc w:val="both"/>
              <w:rPr>
                <w:rFonts w:ascii="Arial" w:hAnsi="Arial" w:cs="Arial"/>
                <w:sz w:val="20"/>
                <w:szCs w:val="20"/>
              </w:rPr>
            </w:pPr>
            <w:r>
              <w:rPr>
                <w:rFonts w:ascii="Arial" w:hAnsi="Arial" w:cs="Arial"/>
                <w:sz w:val="20"/>
                <w:szCs w:val="20"/>
              </w:rPr>
              <w:t>Wykonawca,</w:t>
            </w:r>
          </w:p>
          <w:p w14:paraId="62C642FD" w14:textId="3AD604AC" w:rsidR="00F33FDE" w:rsidRDefault="00F74668">
            <w:pPr>
              <w:pStyle w:val="Akapitzlist"/>
              <w:numPr>
                <w:ilvl w:val="0"/>
                <w:numId w:val="6"/>
              </w:numPr>
              <w:spacing w:before="120" w:after="120" w:line="276" w:lineRule="auto"/>
              <w:ind w:left="459"/>
              <w:jc w:val="both"/>
              <w:rPr>
                <w:rFonts w:ascii="Arial" w:hAnsi="Arial" w:cs="Arial"/>
                <w:sz w:val="20"/>
                <w:szCs w:val="20"/>
              </w:rPr>
            </w:pPr>
            <w:r>
              <w:rPr>
                <w:rFonts w:ascii="Arial" w:hAnsi="Arial" w:cs="Arial"/>
                <w:sz w:val="20"/>
                <w:szCs w:val="20"/>
              </w:rPr>
              <w:t>Każdy uczestnik procesu budowlano / montażowego, któremu Ubezpieczony powierza wykonanie Prac (Robót Budowlanych / Montażowych, Dostaw lub Usług) w ramach zawartych Kontaktów bez względu na ich formę prawną (Podwykonawcy, dostawcy i poddostawcy), oraz wszystkie pozostałe podmioty lub osoby formalnie zaangażowane przy realizacji Kontraktu (niezależnie od tego, przez którą stronę Kontraktu), będącego przedmiotem ubezpieczenia, w tym także pełniący funkcje nadzorcze, konsultacyjne i kontrolne (np. doradcy techniczni), o ile wartość ich prac zawiera się w wartości Kontraktu.,</w:t>
            </w:r>
          </w:p>
          <w:p w14:paraId="6B04CBC2" w14:textId="77777777" w:rsidR="00F33FDE" w:rsidRDefault="00F74668">
            <w:pPr>
              <w:pStyle w:val="Akapitzlist"/>
              <w:numPr>
                <w:ilvl w:val="0"/>
                <w:numId w:val="6"/>
              </w:numPr>
              <w:spacing w:before="120" w:after="120" w:line="276" w:lineRule="auto"/>
              <w:ind w:left="459"/>
              <w:jc w:val="both"/>
              <w:rPr>
                <w:rFonts w:ascii="Arial" w:hAnsi="Arial" w:cs="Arial"/>
                <w:sz w:val="20"/>
                <w:szCs w:val="20"/>
              </w:rPr>
            </w:pPr>
            <w:r>
              <w:rPr>
                <w:rFonts w:ascii="Arial" w:hAnsi="Arial" w:cs="Arial"/>
                <w:sz w:val="20"/>
                <w:szCs w:val="20"/>
              </w:rPr>
              <w:t>podmioty finansujące – jeśli występują</w:t>
            </w:r>
          </w:p>
        </w:tc>
      </w:tr>
      <w:tr w:rsidR="00F33FDE" w14:paraId="0A97CF8A" w14:textId="77777777">
        <w:tc>
          <w:tcPr>
            <w:tcW w:w="704" w:type="dxa"/>
          </w:tcPr>
          <w:p w14:paraId="3C53A241" w14:textId="77777777" w:rsidR="00F33FDE" w:rsidRDefault="00F33FDE">
            <w:pPr>
              <w:pStyle w:val="Akapitzlist"/>
              <w:numPr>
                <w:ilvl w:val="0"/>
                <w:numId w:val="7"/>
              </w:numPr>
              <w:spacing w:before="120" w:after="120" w:line="276" w:lineRule="auto"/>
              <w:ind w:left="454"/>
              <w:jc w:val="both"/>
              <w:rPr>
                <w:rFonts w:ascii="Arial" w:hAnsi="Arial" w:cs="Arial"/>
                <w:sz w:val="20"/>
                <w:szCs w:val="20"/>
              </w:rPr>
            </w:pPr>
          </w:p>
        </w:tc>
        <w:tc>
          <w:tcPr>
            <w:tcW w:w="2835" w:type="dxa"/>
          </w:tcPr>
          <w:p w14:paraId="6F846623"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Zakres ubezpieczenia</w:t>
            </w:r>
          </w:p>
        </w:tc>
        <w:tc>
          <w:tcPr>
            <w:tcW w:w="5523" w:type="dxa"/>
            <w:vAlign w:val="center"/>
          </w:tcPr>
          <w:p w14:paraId="454F3457" w14:textId="51BD3C9D" w:rsidR="00F33FDE" w:rsidRDefault="00F74668">
            <w:pPr>
              <w:spacing w:before="120" w:after="120" w:line="276" w:lineRule="auto"/>
              <w:jc w:val="both"/>
              <w:rPr>
                <w:rFonts w:ascii="Arial" w:hAnsi="Arial" w:cs="Arial"/>
                <w:sz w:val="20"/>
                <w:szCs w:val="20"/>
              </w:rPr>
            </w:pPr>
            <w:r>
              <w:rPr>
                <w:rFonts w:ascii="Arial" w:hAnsi="Arial" w:cs="Arial"/>
                <w:sz w:val="20"/>
                <w:szCs w:val="20"/>
              </w:rPr>
              <w:t>Zakres ubezpieczenia w systemie „</w:t>
            </w:r>
            <w:proofErr w:type="spellStart"/>
            <w:r>
              <w:rPr>
                <w:rFonts w:ascii="Arial" w:hAnsi="Arial" w:cs="Arial"/>
                <w:sz w:val="20"/>
                <w:szCs w:val="20"/>
              </w:rPr>
              <w:t>all</w:t>
            </w:r>
            <w:proofErr w:type="spellEnd"/>
            <w:r>
              <w:rPr>
                <w:rFonts w:ascii="Arial" w:hAnsi="Arial" w:cs="Arial"/>
                <w:sz w:val="20"/>
                <w:szCs w:val="20"/>
              </w:rPr>
              <w:t xml:space="preserve"> </w:t>
            </w:r>
            <w:proofErr w:type="spellStart"/>
            <w:r>
              <w:rPr>
                <w:rFonts w:ascii="Arial" w:hAnsi="Arial" w:cs="Arial"/>
                <w:sz w:val="20"/>
                <w:szCs w:val="20"/>
              </w:rPr>
              <w:t>risks</w:t>
            </w:r>
            <w:proofErr w:type="spellEnd"/>
            <w:r>
              <w:rPr>
                <w:rFonts w:ascii="Arial" w:hAnsi="Arial" w:cs="Arial"/>
                <w:sz w:val="20"/>
                <w:szCs w:val="20"/>
              </w:rPr>
              <w:t xml:space="preserve">” - obejmuje szkody polegające na utracie, uszkodzeniu lub zniszczeniu przedmiotu ubezpieczenia wskutek zdarzeń o charakterze nagłym, niespodziewanym i niezależnym od </w:t>
            </w:r>
            <w:r w:rsidR="00D95932">
              <w:rPr>
                <w:rFonts w:ascii="Arial" w:hAnsi="Arial" w:cs="Arial"/>
                <w:sz w:val="20"/>
                <w:szCs w:val="20"/>
              </w:rPr>
              <w:t>w</w:t>
            </w:r>
            <w:r>
              <w:rPr>
                <w:rFonts w:ascii="Arial" w:hAnsi="Arial" w:cs="Arial"/>
                <w:sz w:val="20"/>
                <w:szCs w:val="20"/>
              </w:rPr>
              <w:t>oli Ubezpieczonego, za wyjątkiem zdarzeń, które są wyraźnie wyłączone w SWU z uwzględnieniem zmian i modyfikacji wynikających z Umowy</w:t>
            </w:r>
            <w:r w:rsidR="00E86575">
              <w:rPr>
                <w:rFonts w:ascii="Arial" w:hAnsi="Arial" w:cs="Arial"/>
                <w:sz w:val="20"/>
                <w:szCs w:val="20"/>
              </w:rPr>
              <w:t xml:space="preserve"> CAR/EAR</w:t>
            </w:r>
            <w:r>
              <w:rPr>
                <w:rFonts w:ascii="Arial" w:hAnsi="Arial" w:cs="Arial"/>
                <w:sz w:val="20"/>
                <w:szCs w:val="20"/>
              </w:rPr>
              <w:t>.</w:t>
            </w:r>
          </w:p>
        </w:tc>
      </w:tr>
      <w:tr w:rsidR="00F33FDE" w14:paraId="4D387F94" w14:textId="77777777">
        <w:tc>
          <w:tcPr>
            <w:tcW w:w="704" w:type="dxa"/>
          </w:tcPr>
          <w:p w14:paraId="7D01A41E" w14:textId="77777777" w:rsidR="00F33FDE" w:rsidRDefault="00F33FDE">
            <w:pPr>
              <w:pStyle w:val="Akapitzlist"/>
              <w:numPr>
                <w:ilvl w:val="0"/>
                <w:numId w:val="7"/>
              </w:numPr>
              <w:spacing w:before="120" w:after="120" w:line="276" w:lineRule="auto"/>
              <w:ind w:left="454"/>
              <w:jc w:val="both"/>
              <w:rPr>
                <w:rFonts w:ascii="Arial" w:hAnsi="Arial" w:cs="Arial"/>
                <w:sz w:val="20"/>
                <w:szCs w:val="20"/>
              </w:rPr>
            </w:pPr>
          </w:p>
        </w:tc>
        <w:tc>
          <w:tcPr>
            <w:tcW w:w="2835" w:type="dxa"/>
          </w:tcPr>
          <w:p w14:paraId="4301FB93"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Klauzule dodatkowe wraz z podstawowymi parametrami</w:t>
            </w:r>
          </w:p>
        </w:tc>
        <w:tc>
          <w:tcPr>
            <w:tcW w:w="5523" w:type="dxa"/>
          </w:tcPr>
          <w:p w14:paraId="24F6BD91" w14:textId="030B65C4"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nr 001 MR – pokrycie Szkód powstałych wskutek strajków, rozruchów i zamieszek społecznych</w:t>
            </w:r>
            <w:r>
              <w:rPr>
                <w:rFonts w:ascii="Arial" w:hAnsi="Arial" w:cs="Arial"/>
                <w:sz w:val="20"/>
                <w:szCs w:val="20"/>
                <w:lang w:eastAsia="pl-PL"/>
              </w:rPr>
              <w:t xml:space="preserve"> z podlimitem 5.000.000,00 PLN</w:t>
            </w:r>
            <w:r w:rsidRPr="000D6760">
              <w:rPr>
                <w:rFonts w:ascii="Arial" w:hAnsi="Arial" w:cs="Arial"/>
                <w:sz w:val="20"/>
                <w:szCs w:val="20"/>
                <w:lang w:eastAsia="pl-PL"/>
              </w:rPr>
              <w:t>;</w:t>
            </w:r>
          </w:p>
          <w:p w14:paraId="28D3365C" w14:textId="440EAC92"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nr 003 MR – konserwacja prosta (z zastrzeżeniem, że ochrona ubezpieczeniowa wynikająca z niniejszej klauzuli rozpoczyna się z momentem zakończenia obowiązywania klauzuli nr 004 MR)</w:t>
            </w:r>
            <w:r>
              <w:rPr>
                <w:rFonts w:ascii="Arial" w:hAnsi="Arial" w:cs="Arial"/>
                <w:sz w:val="20"/>
                <w:szCs w:val="20"/>
                <w:lang w:eastAsia="pl-PL"/>
              </w:rPr>
              <w:t xml:space="preserve"> – 24 miesiące</w:t>
            </w:r>
            <w:r w:rsidRPr="000D6760">
              <w:rPr>
                <w:rFonts w:ascii="Arial" w:hAnsi="Arial" w:cs="Arial"/>
                <w:sz w:val="20"/>
                <w:szCs w:val="20"/>
                <w:lang w:eastAsia="pl-PL"/>
              </w:rPr>
              <w:t>;</w:t>
            </w:r>
          </w:p>
          <w:p w14:paraId="49D93EFA" w14:textId="3EA03965"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nr 004 MR – konserwacja rozszerzona (z zastrzeżeniem, że ochrona ubezpieczeniowa wynikająca z niniejszej klauzuli rozpoczyna się z momentem ukończenia Przedmiotu Kontraktu i podpisania </w:t>
            </w:r>
            <w:r w:rsidRPr="000D6760">
              <w:rPr>
                <w:rFonts w:ascii="Arial" w:hAnsi="Arial" w:cs="Arial"/>
                <w:sz w:val="20"/>
                <w:szCs w:val="20"/>
              </w:rPr>
              <w:t>Protokołu Odbioru Końcowego lub jego części, lub w dniu przekazania go do użytkowania/eksploatacji, w zależności od tego, który fakt nastąpi wcześniej</w:t>
            </w:r>
            <w:r w:rsidRPr="000D6760">
              <w:rPr>
                <w:rFonts w:ascii="Arial" w:hAnsi="Arial" w:cs="Arial"/>
                <w:sz w:val="20"/>
                <w:szCs w:val="20"/>
                <w:lang w:eastAsia="pl-PL"/>
              </w:rPr>
              <w:t>)</w:t>
            </w:r>
            <w:r>
              <w:rPr>
                <w:rFonts w:ascii="Arial" w:hAnsi="Arial" w:cs="Arial"/>
                <w:sz w:val="20"/>
                <w:szCs w:val="20"/>
                <w:lang w:eastAsia="pl-PL"/>
              </w:rPr>
              <w:t xml:space="preserve"> – 24 miesiące</w:t>
            </w:r>
            <w:r w:rsidRPr="000D6760">
              <w:rPr>
                <w:rFonts w:ascii="Arial" w:hAnsi="Arial" w:cs="Arial"/>
                <w:sz w:val="20"/>
                <w:szCs w:val="20"/>
                <w:lang w:eastAsia="pl-PL"/>
              </w:rPr>
              <w:t>;</w:t>
            </w:r>
          </w:p>
          <w:p w14:paraId="2E51CCF5" w14:textId="294725D4"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nr 006 MR – </w:t>
            </w:r>
            <w:r w:rsidRPr="000D6760">
              <w:rPr>
                <w:rFonts w:ascii="Arial" w:hAnsi="Arial" w:cs="Arial"/>
                <w:snapToGrid w:val="0"/>
                <w:sz w:val="20"/>
                <w:szCs w:val="20"/>
                <w:lang w:eastAsia="pl-PL"/>
              </w:rPr>
              <w:t>ochrona dla dodatkowych kosztów pracy w godzinach nadliczbowych, w porze nocnej, w dni ustawowo wolne od pracy i frachtu ekspresowego</w:t>
            </w:r>
            <w:r>
              <w:rPr>
                <w:rFonts w:ascii="Arial" w:hAnsi="Arial" w:cs="Arial"/>
                <w:snapToGrid w:val="0"/>
                <w:sz w:val="20"/>
                <w:szCs w:val="20"/>
                <w:lang w:eastAsia="pl-PL"/>
              </w:rPr>
              <w:t xml:space="preserve"> z podlimitem 2.000.000,00 PLN</w:t>
            </w:r>
            <w:r w:rsidRPr="000D6760">
              <w:rPr>
                <w:rFonts w:ascii="Arial" w:hAnsi="Arial" w:cs="Arial"/>
                <w:snapToGrid w:val="0"/>
                <w:sz w:val="20"/>
                <w:szCs w:val="20"/>
                <w:lang w:eastAsia="pl-PL"/>
              </w:rPr>
              <w:t>;</w:t>
            </w:r>
          </w:p>
          <w:p w14:paraId="1330A3C8" w14:textId="2D0C26AA"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nr 007 MR – pokrycie kosztów frachtu lotniczego</w:t>
            </w:r>
            <w:r>
              <w:rPr>
                <w:rFonts w:ascii="Arial" w:hAnsi="Arial" w:cs="Arial"/>
                <w:sz w:val="20"/>
                <w:szCs w:val="20"/>
                <w:lang w:eastAsia="pl-PL"/>
              </w:rPr>
              <w:t xml:space="preserve"> z podlimitem 1.000.000,00 PLN</w:t>
            </w:r>
            <w:r w:rsidRPr="000D6760">
              <w:rPr>
                <w:rFonts w:ascii="Arial" w:hAnsi="Arial" w:cs="Arial"/>
                <w:sz w:val="20"/>
                <w:szCs w:val="20"/>
                <w:shd w:val="clear" w:color="auto" w:fill="E2EFD9" w:themeFill="accent6" w:themeFillTint="33"/>
                <w:lang w:eastAsia="pl-PL"/>
              </w:rPr>
              <w:t>;</w:t>
            </w:r>
          </w:p>
          <w:p w14:paraId="4C07DBCA" w14:textId="50C1B90D"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napToGrid w:val="0"/>
                <w:sz w:val="20"/>
                <w:szCs w:val="20"/>
                <w:lang w:eastAsia="pl-PL"/>
              </w:rPr>
              <w:lastRenderedPageBreak/>
              <w:t>klauzula nr 013 MR – składowanie mienia poza Terenem Budowy</w:t>
            </w:r>
            <w:r>
              <w:rPr>
                <w:rFonts w:ascii="Arial" w:hAnsi="Arial" w:cs="Arial"/>
                <w:snapToGrid w:val="0"/>
                <w:sz w:val="20"/>
                <w:szCs w:val="20"/>
                <w:lang w:eastAsia="pl-PL"/>
              </w:rPr>
              <w:t xml:space="preserve"> z podlimitem 3.000.000,00 PLN</w:t>
            </w:r>
            <w:r w:rsidRPr="000D6760">
              <w:rPr>
                <w:rFonts w:ascii="Arial" w:hAnsi="Arial" w:cs="Arial"/>
                <w:snapToGrid w:val="0"/>
                <w:sz w:val="20"/>
                <w:szCs w:val="20"/>
                <w:lang w:eastAsia="pl-PL"/>
              </w:rPr>
              <w:t>,</w:t>
            </w:r>
          </w:p>
          <w:p w14:paraId="6487ADB2" w14:textId="6A4F95E6"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nr 100 MR – </w:t>
            </w:r>
            <w:r w:rsidRPr="000D6760">
              <w:rPr>
                <w:rFonts w:ascii="Arial" w:hAnsi="Arial" w:cs="Arial"/>
                <w:snapToGrid w:val="0"/>
                <w:sz w:val="20"/>
                <w:szCs w:val="20"/>
                <w:lang w:eastAsia="pl-PL"/>
              </w:rPr>
              <w:t>ubezpieczenie prób, Testów, Rozruchu oraz Ruchu Próbnego</w:t>
            </w:r>
            <w:r>
              <w:rPr>
                <w:rFonts w:ascii="Arial" w:hAnsi="Arial" w:cs="Arial"/>
                <w:snapToGrid w:val="0"/>
                <w:sz w:val="20"/>
                <w:szCs w:val="20"/>
                <w:lang w:eastAsia="pl-PL"/>
              </w:rPr>
              <w:t xml:space="preserve"> – 18 tygodni</w:t>
            </w:r>
            <w:r w:rsidRPr="000D6760">
              <w:rPr>
                <w:rFonts w:ascii="Arial" w:hAnsi="Arial" w:cs="Arial"/>
                <w:snapToGrid w:val="0"/>
                <w:sz w:val="20"/>
                <w:szCs w:val="20"/>
                <w:lang w:eastAsia="pl-PL"/>
              </w:rPr>
              <w:t>;</w:t>
            </w:r>
          </w:p>
          <w:p w14:paraId="441F7349"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napToGrid w:val="0"/>
                <w:sz w:val="20"/>
                <w:szCs w:val="20"/>
                <w:lang w:eastAsia="pl-PL"/>
              </w:rPr>
              <w:t>klauzula nr 112/206 MR – postanowienia specjalne dotyczące środków zabezpieczenia przeciwpożarowego;</w:t>
            </w:r>
          </w:p>
          <w:p w14:paraId="05968766"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napToGrid w:val="0"/>
                <w:sz w:val="20"/>
                <w:szCs w:val="20"/>
                <w:lang w:eastAsia="pl-PL"/>
              </w:rPr>
              <w:t xml:space="preserve">klauzula nr 113/220 MR – pokrycie Szkody w </w:t>
            </w:r>
            <w:r w:rsidRPr="000D6760">
              <w:rPr>
                <w:rFonts w:ascii="Arial" w:hAnsi="Arial" w:cs="Arial"/>
                <w:sz w:val="20"/>
                <w:szCs w:val="20"/>
              </w:rPr>
              <w:t>trakcie transportu;</w:t>
            </w:r>
          </w:p>
          <w:p w14:paraId="7AD4F94A"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nr 115/200 MR – ubezpieczenie ryzyka projektanta / producenta, </w:t>
            </w:r>
          </w:p>
          <w:p w14:paraId="576C96A6"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nr 116 + 116/1 – ochrona dla mienia, którego prawo własności przeszło na Zamawiającego;</w:t>
            </w:r>
          </w:p>
          <w:p w14:paraId="7BDC476D" w14:textId="0B4CF5F8"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nr 119 MR – ochrona dla Mienia Otaczającego / Istniejącego</w:t>
            </w:r>
            <w:r>
              <w:rPr>
                <w:rFonts w:ascii="Arial" w:hAnsi="Arial" w:cs="Arial"/>
                <w:sz w:val="20"/>
                <w:szCs w:val="20"/>
                <w:lang w:eastAsia="pl-PL"/>
              </w:rPr>
              <w:t xml:space="preserve"> z podlimitem 20.000.000,00 PLN</w:t>
            </w:r>
            <w:r w:rsidRPr="000D6760">
              <w:rPr>
                <w:rFonts w:ascii="Arial" w:hAnsi="Arial" w:cs="Arial"/>
                <w:sz w:val="20"/>
                <w:szCs w:val="20"/>
                <w:lang w:eastAsia="pl-PL"/>
              </w:rPr>
              <w:t>;</w:t>
            </w:r>
          </w:p>
          <w:p w14:paraId="4CAD1ABB" w14:textId="64A94C22"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nr 201 MR – ochrona dla okresu gwarancyjnego (z zastrzeżeniem, że ochrona ubezpieczeniowa wynikająca z niniejszej klauzuli rozpoczyna się z momentem ukończenia Kontraktu zgłoszonego do ubezpieczenia </w:t>
            </w:r>
            <w:r>
              <w:rPr>
                <w:rFonts w:ascii="Arial" w:hAnsi="Arial" w:cs="Arial"/>
                <w:sz w:val="20"/>
                <w:szCs w:val="20"/>
                <w:lang w:eastAsia="pl-PL"/>
              </w:rPr>
              <w:br/>
            </w:r>
            <w:r w:rsidRPr="000D6760">
              <w:rPr>
                <w:rFonts w:ascii="Arial" w:hAnsi="Arial" w:cs="Arial"/>
                <w:sz w:val="20"/>
                <w:szCs w:val="20"/>
                <w:lang w:eastAsia="pl-PL"/>
              </w:rPr>
              <w:t xml:space="preserve">i podpisania </w:t>
            </w:r>
            <w:r w:rsidRPr="000D6760">
              <w:rPr>
                <w:rFonts w:ascii="Arial" w:hAnsi="Arial" w:cs="Arial"/>
                <w:sz w:val="20"/>
                <w:szCs w:val="20"/>
              </w:rPr>
              <w:t>Protokołu Odbioru Końcowego</w:t>
            </w:r>
            <w:r w:rsidRPr="000D6760">
              <w:rPr>
                <w:rFonts w:ascii="Arial" w:hAnsi="Arial" w:cs="Arial"/>
                <w:sz w:val="20"/>
                <w:szCs w:val="20"/>
                <w:lang w:eastAsia="pl-PL"/>
              </w:rPr>
              <w:t>);</w:t>
            </w:r>
          </w:p>
          <w:p w14:paraId="27E754C6" w14:textId="6DE5D33D"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rPr>
              <w:t xml:space="preserve">klauzula </w:t>
            </w:r>
            <w:r w:rsidRPr="000D6760">
              <w:rPr>
                <w:rFonts w:ascii="Arial" w:hAnsi="Arial" w:cs="Arial"/>
                <w:sz w:val="20"/>
                <w:szCs w:val="20"/>
                <w:lang w:eastAsia="pl-PL"/>
              </w:rPr>
              <w:t>nr 218 MR – koszty odnalezienia</w:t>
            </w:r>
            <w:r w:rsidRPr="000D6760">
              <w:rPr>
                <w:rFonts w:ascii="Arial" w:hAnsi="Arial" w:cs="Arial"/>
                <w:sz w:val="20"/>
                <w:szCs w:val="20"/>
              </w:rPr>
              <w:t xml:space="preserve"> wycieku</w:t>
            </w:r>
            <w:r>
              <w:rPr>
                <w:rFonts w:ascii="Arial" w:hAnsi="Arial" w:cs="Arial"/>
                <w:sz w:val="20"/>
                <w:szCs w:val="20"/>
              </w:rPr>
              <w:t xml:space="preserve"> z podlimitem 500.000,00 PLN </w:t>
            </w:r>
            <w:r w:rsidRPr="000D6760">
              <w:rPr>
                <w:rFonts w:ascii="Arial" w:hAnsi="Arial" w:cs="Arial"/>
                <w:sz w:val="20"/>
                <w:szCs w:val="20"/>
              </w:rPr>
              <w:t>;</w:t>
            </w:r>
          </w:p>
          <w:p w14:paraId="70ABE56D" w14:textId="7C92D12F"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nr 230 MR – objęcie ochroną automatycznego wzrostu wartości Kontraktu zgłoszonego do ubezpieczenia</w:t>
            </w:r>
            <w:r>
              <w:rPr>
                <w:rFonts w:ascii="Arial" w:hAnsi="Arial" w:cs="Arial"/>
                <w:sz w:val="20"/>
                <w:szCs w:val="20"/>
                <w:lang w:eastAsia="pl-PL"/>
              </w:rPr>
              <w:t xml:space="preserve"> – 20%</w:t>
            </w:r>
            <w:r w:rsidRPr="000D6760">
              <w:rPr>
                <w:rFonts w:ascii="Arial" w:hAnsi="Arial" w:cs="Arial"/>
                <w:sz w:val="20"/>
                <w:szCs w:val="20"/>
                <w:lang w:eastAsia="pl-PL"/>
              </w:rPr>
              <w:t>;</w:t>
            </w:r>
          </w:p>
          <w:p w14:paraId="0D8D7AF7"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50/50;</w:t>
            </w:r>
          </w:p>
          <w:p w14:paraId="07B30CA8"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72/504 godzin;</w:t>
            </w:r>
          </w:p>
          <w:p w14:paraId="7AF941F9"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eastAsia="TTE21CF5D8t00" w:hAnsi="Arial" w:cs="Arial"/>
                <w:sz w:val="20"/>
                <w:szCs w:val="20"/>
              </w:rPr>
              <w:t>klauzula Akcji Ratowniczej;</w:t>
            </w:r>
          </w:p>
          <w:p w14:paraId="4764EF75"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eastAsia="TTE21CF5D8t00" w:hAnsi="Arial" w:cs="Arial"/>
                <w:sz w:val="20"/>
                <w:szCs w:val="20"/>
              </w:rPr>
              <w:t>klauzula automatycznego pokrycia zbytego przedsiębiorstwa;</w:t>
            </w:r>
          </w:p>
          <w:p w14:paraId="06433B0B"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automatycznego przedłużenia okresu ubezpieczenia dla Kontraktu zgłoszonego do ubezpieczenia;</w:t>
            </w:r>
          </w:p>
          <w:p w14:paraId="5C3CB8CF"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inflacyjna;</w:t>
            </w:r>
          </w:p>
          <w:p w14:paraId="208AD6A9"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kosztów zabezpieczenia mienia przed szkodą</w:t>
            </w:r>
          </w:p>
          <w:p w14:paraId="0959D5BC"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w:t>
            </w:r>
            <w:proofErr w:type="spellStart"/>
            <w:r w:rsidRPr="000D6760">
              <w:rPr>
                <w:rFonts w:ascii="Arial" w:hAnsi="Arial" w:cs="Arial"/>
                <w:sz w:val="20"/>
                <w:szCs w:val="20"/>
                <w:lang w:eastAsia="pl-PL"/>
              </w:rPr>
              <w:t>Leeway</w:t>
            </w:r>
            <w:proofErr w:type="spellEnd"/>
            <w:r w:rsidRPr="000D6760">
              <w:rPr>
                <w:rFonts w:ascii="Arial" w:hAnsi="Arial" w:cs="Arial"/>
                <w:sz w:val="20"/>
                <w:szCs w:val="20"/>
                <w:lang w:eastAsia="pl-PL"/>
              </w:rPr>
              <w:t>;</w:t>
            </w:r>
          </w:p>
          <w:p w14:paraId="56693396"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bCs/>
                <w:sz w:val="20"/>
                <w:szCs w:val="20"/>
              </w:rPr>
              <w:t>klauzula likwidacji drobnych Szkód;</w:t>
            </w:r>
          </w:p>
          <w:p w14:paraId="1CECD45E"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 xml:space="preserve">klauzula likwidatora mianowanego; </w:t>
            </w:r>
          </w:p>
          <w:p w14:paraId="449BC994"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odtworzenia planów i dokumentów;</w:t>
            </w:r>
          </w:p>
          <w:p w14:paraId="27910BC8"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bCs/>
                <w:sz w:val="20"/>
                <w:szCs w:val="20"/>
              </w:rPr>
              <w:t>klauzula pokrycia (odtworzenia) limitów sumy ubezpieczenia podlegających wyczerpaniu;</w:t>
            </w:r>
          </w:p>
          <w:p w14:paraId="027DC968"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bCs/>
                <w:sz w:val="20"/>
                <w:szCs w:val="20"/>
              </w:rPr>
              <w:t>klauzula pokrycia wydatków prewencyjnych;</w:t>
            </w:r>
          </w:p>
          <w:p w14:paraId="2EA454C7"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eastAsia="TTE21CF5D8t00" w:hAnsi="Arial" w:cs="Arial"/>
                <w:sz w:val="20"/>
                <w:szCs w:val="20"/>
              </w:rPr>
              <w:t>klauzula połączenia, podziału i przekształcenia;</w:t>
            </w:r>
          </w:p>
          <w:p w14:paraId="71552066"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rPr>
              <w:t>klauzula powinności Ubezpieczającego (Art. 815, 818 kodeksu cywilnego);</w:t>
            </w:r>
          </w:p>
          <w:p w14:paraId="69C8CC2F"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rPr>
              <w:t>klauzula Reprezentantów (CAR/EAR);</w:t>
            </w:r>
          </w:p>
          <w:p w14:paraId="574E0CE7" w14:textId="6812EE68"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Szkód w częściach wadliwych (do klauzuli nr 115/200 MR)</w:t>
            </w:r>
            <w:r>
              <w:rPr>
                <w:rFonts w:ascii="Arial" w:hAnsi="Arial" w:cs="Arial"/>
                <w:sz w:val="20"/>
                <w:szCs w:val="20"/>
                <w:lang w:eastAsia="pl-PL"/>
              </w:rPr>
              <w:t xml:space="preserve"> z podlimitem 2.000.000,00 PLN</w:t>
            </w:r>
            <w:r w:rsidRPr="000D6760">
              <w:rPr>
                <w:rFonts w:ascii="Arial" w:hAnsi="Arial" w:cs="Arial"/>
                <w:sz w:val="20"/>
                <w:szCs w:val="20"/>
                <w:lang w:eastAsia="pl-PL"/>
              </w:rPr>
              <w:t>;</w:t>
            </w:r>
          </w:p>
          <w:p w14:paraId="6851CDFC"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rPr>
              <w:t>klauzula tymczasowych napraw;</w:t>
            </w:r>
          </w:p>
          <w:p w14:paraId="2558351C" w14:textId="2C912022"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ubezpieczenia od aktów Terroryzmu i Sabotażu</w:t>
            </w:r>
            <w:r>
              <w:rPr>
                <w:rFonts w:ascii="Arial" w:hAnsi="Arial" w:cs="Arial"/>
                <w:sz w:val="20"/>
                <w:szCs w:val="20"/>
                <w:lang w:eastAsia="pl-PL"/>
              </w:rPr>
              <w:t xml:space="preserve"> z podlimitem 20.000.000,00 PLN</w:t>
            </w:r>
            <w:r w:rsidRPr="000D6760">
              <w:rPr>
                <w:rFonts w:ascii="Arial" w:hAnsi="Arial" w:cs="Arial"/>
                <w:sz w:val="20"/>
                <w:szCs w:val="20"/>
                <w:lang w:eastAsia="pl-PL"/>
              </w:rPr>
              <w:t>;</w:t>
            </w:r>
          </w:p>
          <w:p w14:paraId="43FA309D"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ubezpieczenia kosztów usunięcia pozostałości po Szkodzie;</w:t>
            </w:r>
          </w:p>
          <w:p w14:paraId="7027CEC6"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rPr>
              <w:t>klauzula ustalenia okoliczności Szkody;</w:t>
            </w:r>
          </w:p>
          <w:p w14:paraId="423476AB" w14:textId="77777777" w:rsidR="000D6760"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rPr>
              <w:t>klauzula wstrzymania prac;</w:t>
            </w:r>
          </w:p>
          <w:p w14:paraId="465F3719" w14:textId="77777777" w:rsid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wynagradzania rzeczoznawców i ekspertów</w:t>
            </w:r>
            <w:r>
              <w:rPr>
                <w:rFonts w:ascii="Arial" w:hAnsi="Arial" w:cs="Arial"/>
                <w:sz w:val="20"/>
                <w:szCs w:val="20"/>
                <w:lang w:eastAsia="pl-PL"/>
              </w:rPr>
              <w:t xml:space="preserve"> </w:t>
            </w:r>
            <w:r>
              <w:rPr>
                <w:rFonts w:ascii="Arial" w:hAnsi="Arial" w:cs="Arial"/>
                <w:sz w:val="20"/>
                <w:szCs w:val="20"/>
                <w:lang w:eastAsia="pl-PL"/>
              </w:rPr>
              <w:br/>
              <w:t>z podlimitem 500.000,00 PLN</w:t>
            </w:r>
            <w:r w:rsidRPr="000D6760">
              <w:rPr>
                <w:rFonts w:ascii="Arial" w:hAnsi="Arial" w:cs="Arial"/>
                <w:sz w:val="20"/>
                <w:szCs w:val="20"/>
                <w:lang w:eastAsia="pl-PL"/>
              </w:rPr>
              <w:t>;</w:t>
            </w:r>
          </w:p>
          <w:p w14:paraId="79BFC6BF" w14:textId="05E1E6C8" w:rsidR="00F33FDE" w:rsidRPr="000D6760" w:rsidRDefault="000D6760" w:rsidP="000D6760">
            <w:pPr>
              <w:numPr>
                <w:ilvl w:val="0"/>
                <w:numId w:val="9"/>
              </w:numPr>
              <w:suppressAutoHyphens w:val="0"/>
              <w:spacing w:after="0" w:line="240" w:lineRule="auto"/>
              <w:ind w:left="357" w:hanging="357"/>
              <w:jc w:val="both"/>
              <w:rPr>
                <w:rFonts w:ascii="Arial" w:hAnsi="Arial" w:cs="Arial"/>
                <w:sz w:val="20"/>
                <w:szCs w:val="20"/>
                <w:lang w:eastAsia="pl-PL"/>
              </w:rPr>
            </w:pPr>
            <w:r w:rsidRPr="000D6760">
              <w:rPr>
                <w:rFonts w:ascii="Arial" w:hAnsi="Arial" w:cs="Arial"/>
                <w:sz w:val="20"/>
                <w:szCs w:val="20"/>
                <w:lang w:eastAsia="pl-PL"/>
              </w:rPr>
              <w:t>klauzula zaliczki.</w:t>
            </w:r>
          </w:p>
        </w:tc>
      </w:tr>
      <w:tr w:rsidR="00F33FDE" w14:paraId="2AFBC282" w14:textId="77777777">
        <w:tc>
          <w:tcPr>
            <w:tcW w:w="704" w:type="dxa"/>
          </w:tcPr>
          <w:p w14:paraId="0B8323B7" w14:textId="77777777" w:rsidR="00F33FDE" w:rsidRDefault="00F33FDE">
            <w:pPr>
              <w:pStyle w:val="Akapitzlist"/>
              <w:numPr>
                <w:ilvl w:val="0"/>
                <w:numId w:val="7"/>
              </w:numPr>
              <w:spacing w:before="120" w:after="120" w:line="276" w:lineRule="auto"/>
              <w:ind w:left="454"/>
              <w:jc w:val="both"/>
              <w:rPr>
                <w:rFonts w:ascii="Arial" w:hAnsi="Arial" w:cs="Arial"/>
                <w:sz w:val="20"/>
                <w:szCs w:val="20"/>
              </w:rPr>
            </w:pPr>
          </w:p>
        </w:tc>
        <w:tc>
          <w:tcPr>
            <w:tcW w:w="2835" w:type="dxa"/>
          </w:tcPr>
          <w:p w14:paraId="40FDD9E1" w14:textId="77777777" w:rsidR="00F33FDE" w:rsidRDefault="00F74668">
            <w:pPr>
              <w:spacing w:before="120" w:after="120" w:line="276" w:lineRule="auto"/>
              <w:contextualSpacing/>
              <w:rPr>
                <w:rFonts w:ascii="Arial" w:eastAsia="Times New Roman" w:hAnsi="Arial" w:cs="Arial"/>
                <w:sz w:val="20"/>
                <w:szCs w:val="20"/>
              </w:rPr>
            </w:pPr>
            <w:r>
              <w:rPr>
                <w:rFonts w:ascii="Arial" w:hAnsi="Arial" w:cs="Arial"/>
                <w:sz w:val="20"/>
                <w:szCs w:val="20"/>
              </w:rPr>
              <w:t xml:space="preserve">Suma ubezpieczenia. </w:t>
            </w:r>
          </w:p>
        </w:tc>
        <w:tc>
          <w:tcPr>
            <w:tcW w:w="5523" w:type="dxa"/>
          </w:tcPr>
          <w:p w14:paraId="13A10E4C" w14:textId="7AC38E55" w:rsidR="00F33FDE" w:rsidRDefault="00F74668">
            <w:pPr>
              <w:spacing w:before="120" w:after="120" w:line="276" w:lineRule="auto"/>
              <w:jc w:val="both"/>
              <w:rPr>
                <w:rFonts w:ascii="Arial" w:hAnsi="Arial" w:cs="Arial"/>
                <w:sz w:val="20"/>
                <w:szCs w:val="20"/>
              </w:rPr>
            </w:pPr>
            <w:r>
              <w:rPr>
                <w:rFonts w:ascii="Arial" w:hAnsi="Arial" w:cs="Arial"/>
                <w:sz w:val="20"/>
                <w:szCs w:val="20"/>
              </w:rPr>
              <w:t xml:space="preserve">Suma ubezpieczenia poszczególnej Inwestycji jest równa wartości netto kontraktu (prac budowlano-montażowych </w:t>
            </w:r>
            <w:r w:rsidR="003452C9">
              <w:rPr>
                <w:rFonts w:ascii="Arial" w:hAnsi="Arial" w:cs="Arial"/>
                <w:sz w:val="20"/>
                <w:szCs w:val="20"/>
              </w:rPr>
              <w:br/>
            </w:r>
            <w:r>
              <w:rPr>
                <w:rFonts w:ascii="Arial" w:hAnsi="Arial" w:cs="Arial"/>
                <w:sz w:val="20"/>
                <w:szCs w:val="20"/>
              </w:rPr>
              <w:lastRenderedPageBreak/>
              <w:t>i wszelkich dostaw) z uwzględnieniem postanowień Klauzuli nr 230 – objęcie ochroną wzrostu wartości kontraktu.</w:t>
            </w:r>
          </w:p>
          <w:p w14:paraId="24AE2F1C"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Niezależnie od powyższej sumy ubezpieczenia poszczególnych inwestycji:</w:t>
            </w:r>
          </w:p>
          <w:p w14:paraId="4952132C"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limit odpowiedzialności dla mienia otaczającego wynosi 20.000.000 PLN na jedno i wszystkie zdarzenia w całym okresie obowiązywania Umowy na wszystkie inwestycje łącznie,</w:t>
            </w:r>
          </w:p>
          <w:p w14:paraId="6CB65C31" w14:textId="77777777" w:rsidR="00F33FDE" w:rsidRDefault="00F74668">
            <w:pPr>
              <w:spacing w:before="120" w:after="120" w:line="276" w:lineRule="auto"/>
              <w:jc w:val="both"/>
              <w:rPr>
                <w:rFonts w:ascii="Arial" w:hAnsi="Arial" w:cs="Arial"/>
                <w:sz w:val="20"/>
                <w:szCs w:val="20"/>
              </w:rPr>
            </w:pPr>
            <w:r>
              <w:rPr>
                <w:rFonts w:ascii="Arial" w:hAnsi="Arial" w:cs="Arial"/>
                <w:sz w:val="20"/>
                <w:szCs w:val="20"/>
              </w:rPr>
              <w:t>- limit odpowiedzialności dla sprzętu, wyposażenia i zaplecza budowy/montażu, w tym obiektów pomocniczych wykorzystywanych do realizacji inwestycji wynosi 1.000.000 PLN na jedno i wszystkie zdarzenia w całym okresie obowiązywania Umowy dla każdej inwestycji odrębnie.</w:t>
            </w:r>
          </w:p>
        </w:tc>
      </w:tr>
      <w:tr w:rsidR="00F33FDE" w14:paraId="400E62E4" w14:textId="77777777">
        <w:tc>
          <w:tcPr>
            <w:tcW w:w="704" w:type="dxa"/>
          </w:tcPr>
          <w:p w14:paraId="1761AEB3" w14:textId="77777777" w:rsidR="00F33FDE" w:rsidRDefault="00F33FDE">
            <w:pPr>
              <w:pStyle w:val="Akapitzlist"/>
              <w:numPr>
                <w:ilvl w:val="0"/>
                <w:numId w:val="7"/>
              </w:numPr>
              <w:spacing w:before="120" w:after="120" w:line="276" w:lineRule="auto"/>
              <w:ind w:left="454"/>
              <w:jc w:val="both"/>
              <w:rPr>
                <w:rFonts w:ascii="Arial" w:hAnsi="Arial" w:cs="Arial"/>
                <w:sz w:val="20"/>
                <w:szCs w:val="20"/>
              </w:rPr>
            </w:pPr>
          </w:p>
        </w:tc>
        <w:tc>
          <w:tcPr>
            <w:tcW w:w="2835" w:type="dxa"/>
          </w:tcPr>
          <w:p w14:paraId="1977C8B8" w14:textId="77777777" w:rsidR="00F33FDE" w:rsidRDefault="00F74668">
            <w:pPr>
              <w:spacing w:before="120" w:after="120" w:line="276" w:lineRule="auto"/>
              <w:contextualSpacing/>
              <w:rPr>
                <w:rFonts w:ascii="Arial" w:hAnsi="Arial" w:cs="Arial"/>
                <w:sz w:val="20"/>
                <w:szCs w:val="20"/>
              </w:rPr>
            </w:pPr>
            <w:r>
              <w:rPr>
                <w:rFonts w:ascii="Arial" w:hAnsi="Arial" w:cs="Arial"/>
                <w:sz w:val="20"/>
                <w:szCs w:val="20"/>
              </w:rPr>
              <w:t>Franszyzy</w:t>
            </w:r>
          </w:p>
        </w:tc>
        <w:tc>
          <w:tcPr>
            <w:tcW w:w="5523" w:type="dxa"/>
          </w:tcPr>
          <w:p w14:paraId="056AAFCE" w14:textId="77777777" w:rsidR="00661E4A" w:rsidRPr="00661E4A" w:rsidRDefault="00661E4A" w:rsidP="00661E4A">
            <w:pPr>
              <w:pStyle w:val="Akapitzlist"/>
              <w:numPr>
                <w:ilvl w:val="0"/>
                <w:numId w:val="17"/>
              </w:numPr>
              <w:suppressAutoHyphens w:val="0"/>
              <w:spacing w:after="0" w:line="240" w:lineRule="auto"/>
              <w:ind w:left="325" w:hanging="283"/>
              <w:contextualSpacing w:val="0"/>
              <w:jc w:val="both"/>
              <w:rPr>
                <w:rFonts w:ascii="Arial" w:hAnsi="Arial" w:cs="Arial"/>
                <w:sz w:val="20"/>
                <w:szCs w:val="20"/>
              </w:rPr>
            </w:pPr>
            <w:r w:rsidRPr="00661E4A">
              <w:rPr>
                <w:rFonts w:ascii="Arial" w:hAnsi="Arial" w:cs="Arial"/>
                <w:sz w:val="20"/>
                <w:szCs w:val="20"/>
              </w:rPr>
              <w:t xml:space="preserve">10% wartości odszkodowania, nie mniej niż 20.000,00 PLN i nie więcej niż 50.000,00 PLN </w:t>
            </w:r>
            <w:r w:rsidRPr="00661E4A">
              <w:rPr>
                <w:rFonts w:ascii="Arial" w:hAnsi="Arial" w:cs="Arial"/>
                <w:sz w:val="20"/>
                <w:szCs w:val="20"/>
              </w:rPr>
              <w:br/>
              <w:t xml:space="preserve">w odniesieniu do każdej szkody:  </w:t>
            </w:r>
          </w:p>
          <w:p w14:paraId="68E71F51" w14:textId="77777777" w:rsidR="00661E4A" w:rsidRPr="00661E4A" w:rsidRDefault="00661E4A" w:rsidP="00661E4A">
            <w:pPr>
              <w:pStyle w:val="Akapitzlist"/>
              <w:numPr>
                <w:ilvl w:val="0"/>
                <w:numId w:val="18"/>
              </w:numPr>
              <w:suppressAutoHyphens w:val="0"/>
              <w:spacing w:after="0" w:line="240" w:lineRule="auto"/>
              <w:ind w:left="609" w:hanging="283"/>
              <w:contextualSpacing w:val="0"/>
              <w:jc w:val="both"/>
              <w:rPr>
                <w:rFonts w:ascii="Arial" w:hAnsi="Arial" w:cs="Arial"/>
                <w:sz w:val="20"/>
                <w:szCs w:val="20"/>
              </w:rPr>
            </w:pPr>
            <w:r w:rsidRPr="00661E4A">
              <w:rPr>
                <w:rFonts w:ascii="Arial" w:hAnsi="Arial" w:cs="Arial"/>
                <w:sz w:val="20"/>
                <w:szCs w:val="20"/>
              </w:rPr>
              <w:t xml:space="preserve">powstałej w wyniku działania sił przyrody, w czasie trwania kontraktu,  objętej ochroną na podstawie Klauzuli nr 003 MR – konserwacja prosta, Klauzuli nr 004 MR – konserwacja rozszerzona,  </w:t>
            </w:r>
          </w:p>
          <w:p w14:paraId="05A94A16" w14:textId="77777777" w:rsidR="00661E4A" w:rsidRPr="00661E4A" w:rsidRDefault="00661E4A" w:rsidP="00661E4A">
            <w:pPr>
              <w:pStyle w:val="Akapitzlist"/>
              <w:numPr>
                <w:ilvl w:val="0"/>
                <w:numId w:val="16"/>
              </w:numPr>
              <w:suppressAutoHyphens w:val="0"/>
              <w:spacing w:after="0" w:line="240" w:lineRule="auto"/>
              <w:ind w:left="609" w:hanging="283"/>
              <w:contextualSpacing w:val="0"/>
              <w:jc w:val="both"/>
              <w:rPr>
                <w:rFonts w:ascii="Arial" w:hAnsi="Arial" w:cs="Arial"/>
                <w:sz w:val="20"/>
                <w:szCs w:val="20"/>
              </w:rPr>
            </w:pPr>
            <w:r w:rsidRPr="00661E4A">
              <w:rPr>
                <w:rFonts w:ascii="Arial" w:hAnsi="Arial" w:cs="Arial"/>
                <w:sz w:val="20"/>
                <w:szCs w:val="20"/>
              </w:rPr>
              <w:t xml:space="preserve">objętej ochroną na podstawie Klauzuli nr 013 MR – składowanie mienia poza Terenem Budowy; </w:t>
            </w:r>
          </w:p>
          <w:p w14:paraId="4A8BD16F" w14:textId="77777777" w:rsidR="00661E4A" w:rsidRPr="00661E4A" w:rsidRDefault="00661E4A" w:rsidP="00661E4A">
            <w:pPr>
              <w:pStyle w:val="Akapitzlist"/>
              <w:numPr>
                <w:ilvl w:val="0"/>
                <w:numId w:val="17"/>
              </w:numPr>
              <w:suppressAutoHyphens w:val="0"/>
              <w:spacing w:before="120" w:after="120" w:line="240" w:lineRule="auto"/>
              <w:ind w:left="325" w:hanging="283"/>
              <w:contextualSpacing w:val="0"/>
              <w:jc w:val="both"/>
              <w:rPr>
                <w:rFonts w:ascii="Arial" w:hAnsi="Arial" w:cs="Arial"/>
                <w:sz w:val="20"/>
                <w:szCs w:val="20"/>
              </w:rPr>
            </w:pPr>
            <w:r w:rsidRPr="00661E4A">
              <w:rPr>
                <w:rFonts w:ascii="Arial" w:hAnsi="Arial" w:cs="Arial"/>
                <w:sz w:val="20"/>
                <w:szCs w:val="20"/>
              </w:rPr>
              <w:t xml:space="preserve">10% wartości odszkodowania, nie mniej niż 50.000,00 PLN i nie więcej niż 100.000,00 PLN w odniesieniu do każdej szkody: </w:t>
            </w:r>
          </w:p>
          <w:p w14:paraId="70EE65F0" w14:textId="77777777" w:rsidR="00661E4A" w:rsidRPr="00661E4A" w:rsidRDefault="00661E4A" w:rsidP="00661E4A">
            <w:pPr>
              <w:pStyle w:val="Akapitzlist"/>
              <w:numPr>
                <w:ilvl w:val="0"/>
                <w:numId w:val="16"/>
              </w:numPr>
              <w:suppressAutoHyphens w:val="0"/>
              <w:spacing w:after="0" w:line="240" w:lineRule="auto"/>
              <w:ind w:left="609" w:hanging="283"/>
              <w:contextualSpacing w:val="0"/>
              <w:jc w:val="both"/>
              <w:rPr>
                <w:rFonts w:ascii="Arial" w:hAnsi="Arial" w:cs="Arial"/>
                <w:sz w:val="20"/>
                <w:szCs w:val="20"/>
              </w:rPr>
            </w:pPr>
            <w:r w:rsidRPr="00661E4A">
              <w:rPr>
                <w:rFonts w:ascii="Arial" w:hAnsi="Arial" w:cs="Arial"/>
                <w:sz w:val="20"/>
                <w:szCs w:val="20"/>
              </w:rPr>
              <w:t xml:space="preserve">powstałej w związku z przeprowadzaniem prób i testów gorących, </w:t>
            </w:r>
          </w:p>
          <w:p w14:paraId="04C9A77F" w14:textId="77777777" w:rsidR="00661E4A" w:rsidRPr="00661E4A" w:rsidRDefault="00661E4A" w:rsidP="00661E4A">
            <w:pPr>
              <w:pStyle w:val="Akapitzlist"/>
              <w:numPr>
                <w:ilvl w:val="0"/>
                <w:numId w:val="16"/>
              </w:numPr>
              <w:suppressAutoHyphens w:val="0"/>
              <w:spacing w:after="0" w:line="240" w:lineRule="auto"/>
              <w:ind w:left="609" w:hanging="283"/>
              <w:contextualSpacing w:val="0"/>
              <w:jc w:val="both"/>
              <w:rPr>
                <w:rFonts w:ascii="Arial" w:hAnsi="Arial" w:cs="Arial"/>
                <w:sz w:val="20"/>
                <w:szCs w:val="20"/>
              </w:rPr>
            </w:pPr>
            <w:r w:rsidRPr="00661E4A">
              <w:rPr>
                <w:rFonts w:ascii="Arial" w:hAnsi="Arial" w:cs="Arial"/>
                <w:sz w:val="20"/>
                <w:szCs w:val="20"/>
              </w:rPr>
              <w:t xml:space="preserve">objętej ochroną na podstawie Klauzuli nr 201 MR – ochrona dla okresu gwarancyjnego, </w:t>
            </w:r>
          </w:p>
          <w:p w14:paraId="472B57A0" w14:textId="77777777" w:rsidR="00661E4A" w:rsidRPr="00661E4A" w:rsidRDefault="00661E4A" w:rsidP="00661E4A">
            <w:pPr>
              <w:pStyle w:val="Akapitzlist"/>
              <w:numPr>
                <w:ilvl w:val="0"/>
                <w:numId w:val="16"/>
              </w:numPr>
              <w:suppressAutoHyphens w:val="0"/>
              <w:spacing w:after="0" w:line="240" w:lineRule="auto"/>
              <w:ind w:left="609" w:hanging="283"/>
              <w:contextualSpacing w:val="0"/>
              <w:jc w:val="both"/>
              <w:rPr>
                <w:rFonts w:ascii="Arial" w:hAnsi="Arial" w:cs="Arial"/>
                <w:sz w:val="20"/>
                <w:szCs w:val="20"/>
              </w:rPr>
            </w:pPr>
            <w:r w:rsidRPr="00661E4A">
              <w:rPr>
                <w:rFonts w:ascii="Arial" w:hAnsi="Arial" w:cs="Arial"/>
                <w:sz w:val="20"/>
                <w:szCs w:val="20"/>
              </w:rPr>
              <w:t>objętej ochroną na podstawie Klauzuli 115/200 MR - pokrycie ryzyka projektanta i producenta,</w:t>
            </w:r>
          </w:p>
          <w:p w14:paraId="64CD8092" w14:textId="77777777" w:rsidR="00661E4A" w:rsidRPr="00661E4A" w:rsidRDefault="00661E4A" w:rsidP="00661E4A">
            <w:pPr>
              <w:pStyle w:val="Akapitzlist"/>
              <w:numPr>
                <w:ilvl w:val="0"/>
                <w:numId w:val="16"/>
              </w:numPr>
              <w:suppressAutoHyphens w:val="0"/>
              <w:spacing w:after="0" w:line="240" w:lineRule="auto"/>
              <w:ind w:left="609" w:hanging="283"/>
              <w:contextualSpacing w:val="0"/>
              <w:jc w:val="both"/>
              <w:rPr>
                <w:rFonts w:ascii="Arial" w:hAnsi="Arial" w:cs="Arial"/>
                <w:sz w:val="20"/>
                <w:szCs w:val="20"/>
              </w:rPr>
            </w:pPr>
            <w:r w:rsidRPr="00661E4A">
              <w:rPr>
                <w:rFonts w:ascii="Arial" w:hAnsi="Arial" w:cs="Arial"/>
                <w:sz w:val="20"/>
                <w:szCs w:val="20"/>
              </w:rPr>
              <w:t xml:space="preserve">objętej ochroną na podstawie Klauzuli Szkód w częściach wadliwych. </w:t>
            </w:r>
          </w:p>
          <w:p w14:paraId="3ACA4D03" w14:textId="77777777" w:rsidR="00661E4A" w:rsidRPr="00661E4A" w:rsidRDefault="00661E4A" w:rsidP="00661E4A">
            <w:pPr>
              <w:pStyle w:val="Akapitzlist"/>
              <w:numPr>
                <w:ilvl w:val="0"/>
                <w:numId w:val="17"/>
              </w:numPr>
              <w:suppressAutoHyphens w:val="0"/>
              <w:spacing w:before="120" w:after="120" w:line="240" w:lineRule="auto"/>
              <w:ind w:left="325" w:hanging="283"/>
              <w:contextualSpacing w:val="0"/>
              <w:jc w:val="both"/>
              <w:rPr>
                <w:rFonts w:ascii="Arial" w:hAnsi="Arial" w:cs="Arial"/>
                <w:sz w:val="20"/>
                <w:szCs w:val="20"/>
              </w:rPr>
            </w:pPr>
            <w:r w:rsidRPr="00661E4A">
              <w:rPr>
                <w:rFonts w:ascii="Arial" w:hAnsi="Arial" w:cs="Arial"/>
                <w:sz w:val="20"/>
                <w:szCs w:val="20"/>
              </w:rPr>
              <w:t xml:space="preserve">50.000,00 PLN w odniesieniu do każdej innej szkody w czasie trwania kontraktu. </w:t>
            </w:r>
          </w:p>
          <w:p w14:paraId="7DF93C1C" w14:textId="77777777" w:rsidR="00661E4A" w:rsidRPr="00661E4A" w:rsidRDefault="00661E4A" w:rsidP="00661E4A">
            <w:pPr>
              <w:spacing w:after="120" w:line="240" w:lineRule="auto"/>
              <w:ind w:left="42"/>
              <w:rPr>
                <w:rFonts w:ascii="Arial" w:hAnsi="Arial" w:cs="Arial"/>
                <w:sz w:val="20"/>
                <w:szCs w:val="20"/>
              </w:rPr>
            </w:pPr>
            <w:r w:rsidRPr="00661E4A">
              <w:rPr>
                <w:rFonts w:ascii="Arial" w:hAnsi="Arial" w:cs="Arial"/>
                <w:sz w:val="20"/>
                <w:szCs w:val="20"/>
              </w:rPr>
              <w:t xml:space="preserve">W przypadku możliwości zastosowania kilku franszyz, potrąca się jedną – najwyższą. </w:t>
            </w:r>
          </w:p>
          <w:p w14:paraId="5D83FE13" w14:textId="77777777" w:rsidR="00661E4A" w:rsidRPr="00661E4A" w:rsidRDefault="00661E4A" w:rsidP="00661E4A">
            <w:pPr>
              <w:spacing w:after="120" w:line="240" w:lineRule="auto"/>
              <w:ind w:left="42"/>
              <w:rPr>
                <w:rFonts w:ascii="Arial" w:hAnsi="Arial" w:cs="Arial"/>
                <w:sz w:val="20"/>
                <w:szCs w:val="20"/>
              </w:rPr>
            </w:pPr>
            <w:r w:rsidRPr="00661E4A">
              <w:rPr>
                <w:rFonts w:ascii="Arial" w:hAnsi="Arial" w:cs="Arial"/>
                <w:sz w:val="20"/>
                <w:szCs w:val="20"/>
              </w:rPr>
              <w:t>W przypadku rozszerzenia przez Zamawiającego zakresu o Sekcję II (OC), franszyza dla Sekcji II wynosi 5.000,00 PLN.</w:t>
            </w:r>
          </w:p>
          <w:p w14:paraId="47D42F5C" w14:textId="2BB6FB24" w:rsidR="00F33FDE" w:rsidRPr="00661E4A" w:rsidRDefault="00661E4A" w:rsidP="00661E4A">
            <w:pPr>
              <w:spacing w:before="120" w:after="120" w:line="240" w:lineRule="auto"/>
              <w:ind w:left="42"/>
              <w:jc w:val="both"/>
              <w:rPr>
                <w:rFonts w:ascii="Arial" w:hAnsi="Arial" w:cs="Arial"/>
                <w:sz w:val="20"/>
                <w:szCs w:val="20"/>
              </w:rPr>
            </w:pPr>
            <w:r w:rsidRPr="00661E4A">
              <w:rPr>
                <w:rFonts w:ascii="Arial" w:hAnsi="Arial" w:cs="Arial"/>
                <w:sz w:val="20"/>
                <w:szCs w:val="20"/>
              </w:rPr>
              <w:t>Nie stosuje się innych franszyz i udziałów własnych.</w:t>
            </w:r>
          </w:p>
          <w:p w14:paraId="4766711E" w14:textId="77777777" w:rsidR="00F33FDE" w:rsidRPr="00661E4A" w:rsidRDefault="00F33FDE" w:rsidP="00661E4A">
            <w:pPr>
              <w:spacing w:before="120" w:after="120" w:line="240" w:lineRule="auto"/>
              <w:ind w:left="325" w:hanging="283"/>
              <w:jc w:val="both"/>
              <w:rPr>
                <w:rFonts w:ascii="Arial" w:hAnsi="Arial" w:cs="Arial"/>
                <w:sz w:val="20"/>
                <w:szCs w:val="20"/>
              </w:rPr>
            </w:pPr>
          </w:p>
        </w:tc>
      </w:tr>
    </w:tbl>
    <w:p w14:paraId="02F49A40" w14:textId="77777777" w:rsidR="00F33FDE" w:rsidRDefault="00F33FDE">
      <w:pPr>
        <w:pStyle w:val="Akapitzlist"/>
        <w:spacing w:line="360" w:lineRule="auto"/>
        <w:ind w:left="360"/>
        <w:jc w:val="both"/>
        <w:rPr>
          <w:rFonts w:ascii="Arial" w:hAnsi="Arial" w:cs="Arial"/>
          <w:sz w:val="20"/>
          <w:szCs w:val="20"/>
        </w:rPr>
      </w:pPr>
    </w:p>
    <w:p w14:paraId="7CCE3F6B" w14:textId="77777777" w:rsidR="00F33FDE" w:rsidRDefault="00F33FDE">
      <w:pPr>
        <w:pStyle w:val="Akapitzlist"/>
        <w:spacing w:line="360" w:lineRule="auto"/>
        <w:ind w:left="360"/>
        <w:jc w:val="both"/>
        <w:rPr>
          <w:rFonts w:ascii="Arial" w:hAnsi="Arial" w:cs="Arial"/>
          <w:sz w:val="20"/>
          <w:szCs w:val="20"/>
        </w:rPr>
      </w:pPr>
    </w:p>
    <w:sectPr w:rsidR="00F33FDE" w:rsidSect="003452C9">
      <w:headerReference w:type="default" r:id="rId9"/>
      <w:footerReference w:type="default" r:id="rId10"/>
      <w:pgSz w:w="11906" w:h="16838" w:code="9"/>
      <w:pgMar w:top="1418" w:right="1418"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889D3" w14:textId="77777777" w:rsidR="00650939" w:rsidRDefault="00650939">
      <w:pPr>
        <w:spacing w:after="0" w:line="240" w:lineRule="auto"/>
      </w:pPr>
      <w:r>
        <w:separator/>
      </w:r>
    </w:p>
  </w:endnote>
  <w:endnote w:type="continuationSeparator" w:id="0">
    <w:p w14:paraId="257EC8BC" w14:textId="77777777" w:rsidR="00650939" w:rsidRDefault="00650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TTE21CF5D8t00">
    <w:altName w:val="Microsoft JhengHei"/>
    <w:panose1 w:val="00000000000000000000"/>
    <w:charset w:val="88"/>
    <w:family w:val="auto"/>
    <w:notTrueType/>
    <w:pitch w:val="default"/>
    <w:sig w:usb0="00000003" w:usb1="08080000" w:usb2="00000010" w:usb3="00000000" w:csb0="001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900906"/>
      <w:docPartObj>
        <w:docPartGallery w:val="Page Numbers (Bottom of Page)"/>
        <w:docPartUnique/>
      </w:docPartObj>
    </w:sdtPr>
    <w:sdtEndPr/>
    <w:sdtContent>
      <w:p w14:paraId="437FA67D" w14:textId="77777777" w:rsidR="00F33FDE" w:rsidRDefault="00F74668">
        <w:pPr>
          <w:pStyle w:val="Stopka"/>
          <w:jc w:val="right"/>
          <w:rPr>
            <w:rFonts w:ascii="Arial" w:eastAsiaTheme="majorEastAsia" w:hAnsi="Arial" w:cs="Arial"/>
            <w:sz w:val="16"/>
            <w:szCs w:val="16"/>
          </w:rPr>
        </w:pPr>
        <w:r>
          <w:rPr>
            <w:rFonts w:ascii="Arial" w:eastAsiaTheme="majorEastAsia" w:hAnsi="Arial" w:cs="Arial"/>
            <w:sz w:val="16"/>
            <w:szCs w:val="16"/>
          </w:rPr>
          <w:t xml:space="preserve">str.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Pr>
            <w:rFonts w:ascii="Arial" w:hAnsi="Arial" w:cs="Arial"/>
            <w:sz w:val="16"/>
            <w:szCs w:val="16"/>
          </w:rPr>
          <w:t>13</w:t>
        </w:r>
        <w:r>
          <w:rPr>
            <w:rFonts w:ascii="Arial" w:hAnsi="Arial"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20666" w14:textId="77777777" w:rsidR="00650939" w:rsidRDefault="00650939">
      <w:pPr>
        <w:spacing w:after="0" w:line="240" w:lineRule="auto"/>
      </w:pPr>
      <w:r>
        <w:separator/>
      </w:r>
    </w:p>
  </w:footnote>
  <w:footnote w:type="continuationSeparator" w:id="0">
    <w:p w14:paraId="4265BA91" w14:textId="77777777" w:rsidR="00650939" w:rsidRDefault="006509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33E5" w14:textId="77777777" w:rsidR="00F33FDE" w:rsidRDefault="00F74668">
    <w:pPr>
      <w:pStyle w:val="Nagwek"/>
      <w:rPr>
        <w:rFonts w:ascii="Arial" w:hAnsi="Arial" w:cs="Arial"/>
        <w:sz w:val="20"/>
        <w:szCs w:val="20"/>
      </w:rPr>
    </w:pPr>
    <w:r>
      <w:rPr>
        <w:rFonts w:ascii="Arial" w:hAnsi="Arial" w:cs="Arial"/>
        <w:b/>
        <w:sz w:val="20"/>
        <w:szCs w:val="20"/>
      </w:rPr>
      <w:t xml:space="preserve">Załącznik nr 3 - </w:t>
    </w:r>
    <w:r>
      <w:rPr>
        <w:rFonts w:ascii="Arial" w:hAnsi="Arial" w:cs="Arial"/>
        <w:sz w:val="20"/>
        <w:szCs w:val="20"/>
      </w:rPr>
      <w:t xml:space="preserve">Wytyczne ubezpieczeniowe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B6352"/>
    <w:multiLevelType w:val="hybridMultilevel"/>
    <w:tmpl w:val="6A92F166"/>
    <w:lvl w:ilvl="0" w:tplc="A680EA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9919CD"/>
    <w:multiLevelType w:val="multilevel"/>
    <w:tmpl w:val="2334C4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A55B3C"/>
    <w:multiLevelType w:val="multilevel"/>
    <w:tmpl w:val="9F447C76"/>
    <w:lvl w:ilvl="0">
      <w:start w:val="1"/>
      <w:numFmt w:val="bullet"/>
      <w:lvlText w:val=""/>
      <w:lvlJc w:val="left"/>
      <w:pPr>
        <w:ind w:left="720" w:hanging="360"/>
      </w:pPr>
      <w:rPr>
        <w:rFonts w:ascii="Symbol" w:hAnsi="Symbol" w:cs="Symbol" w:hint="default"/>
        <w:b w:val="0"/>
        <w:bCs/>
        <w:i w:val="0"/>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8762D57"/>
    <w:multiLevelType w:val="hybridMultilevel"/>
    <w:tmpl w:val="5D225A7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1C563E03"/>
    <w:multiLevelType w:val="multilevel"/>
    <w:tmpl w:val="4E8CA7C4"/>
    <w:lvl w:ilvl="0">
      <w:start w:val="1"/>
      <w:numFmt w:val="bullet"/>
      <w:lvlText w:val=""/>
      <w:lvlJc w:val="left"/>
      <w:pPr>
        <w:ind w:left="720" w:hanging="360"/>
      </w:pPr>
      <w:rPr>
        <w:rFonts w:ascii="Symbol" w:hAnsi="Symbol" w:cs="Symbol" w:hint="default"/>
        <w:b w:val="0"/>
        <w:bCs/>
        <w:i w:val="0"/>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B896E7D"/>
    <w:multiLevelType w:val="multilevel"/>
    <w:tmpl w:val="255C7FA6"/>
    <w:lvl w:ilvl="0">
      <w:start w:val="1"/>
      <w:numFmt w:val="lowerLetter"/>
      <w:lvlText w:val="%1)"/>
      <w:lvlJc w:val="left"/>
      <w:pPr>
        <w:ind w:left="720" w:hanging="360"/>
      </w:pPr>
      <w:rPr>
        <w:b w:val="0"/>
        <w:bCs/>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CE22423"/>
    <w:multiLevelType w:val="multilevel"/>
    <w:tmpl w:val="0B4E336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673DD9"/>
    <w:multiLevelType w:val="multilevel"/>
    <w:tmpl w:val="FA0E83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F780DA8"/>
    <w:multiLevelType w:val="multilevel"/>
    <w:tmpl w:val="4D4817DE"/>
    <w:lvl w:ilvl="0">
      <w:start w:val="1"/>
      <w:numFmt w:val="decimal"/>
      <w:lvlText w:val="%1."/>
      <w:lvlJc w:val="left"/>
      <w:pPr>
        <w:ind w:left="785"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E04D56"/>
    <w:multiLevelType w:val="multilevel"/>
    <w:tmpl w:val="3D94A58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4A36174"/>
    <w:multiLevelType w:val="multilevel"/>
    <w:tmpl w:val="DB74B08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603E86"/>
    <w:multiLevelType w:val="multilevel"/>
    <w:tmpl w:val="D52819F0"/>
    <w:lvl w:ilvl="0">
      <w:start w:val="1"/>
      <w:numFmt w:val="lowerLetter"/>
      <w:lvlText w:val="%1)"/>
      <w:lvlJc w:val="left"/>
      <w:pPr>
        <w:ind w:left="720" w:hanging="360"/>
      </w:pPr>
      <w:rPr>
        <w:b w:val="0"/>
        <w:bCs/>
        <w:i w:val="0"/>
        <w:sz w:val="18"/>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1C33EA6"/>
    <w:multiLevelType w:val="multilevel"/>
    <w:tmpl w:val="6D00F858"/>
    <w:lvl w:ilvl="0">
      <w:start w:val="1"/>
      <w:numFmt w:val="lowerLetter"/>
      <w:lvlText w:val="%1)"/>
      <w:lvlJc w:val="left"/>
      <w:pPr>
        <w:ind w:left="355" w:firstLine="0"/>
      </w:pPr>
      <w:rPr>
        <w:rFonts w:eastAsia="Calibri" w:cs="Arial"/>
        <w:b w:val="0"/>
        <w:i w:val="0"/>
        <w:strike w:val="0"/>
        <w:dstrike w:val="0"/>
        <w:color w:val="000000"/>
        <w:position w:val="0"/>
        <w:sz w:val="20"/>
        <w:szCs w:val="20"/>
        <w:u w:val="none" w:color="000000"/>
        <w:vertAlign w:val="baseline"/>
      </w:rPr>
    </w:lvl>
    <w:lvl w:ilvl="1">
      <w:start w:val="1"/>
      <w:numFmt w:val="lowerRoman"/>
      <w:lvlText w:val="%2."/>
      <w:lvlJc w:val="left"/>
      <w:pPr>
        <w:ind w:left="814" w:firstLine="0"/>
      </w:pPr>
      <w:rPr>
        <w:rFonts w:eastAsia="Arial" w:cs="Arial"/>
        <w:b w:val="0"/>
        <w:i w:val="0"/>
        <w:strike w:val="0"/>
        <w:dstrike w:val="0"/>
        <w:color w:val="000000"/>
        <w:position w:val="0"/>
        <w:sz w:val="20"/>
        <w:szCs w:val="20"/>
        <w:u w:val="none" w:color="000000"/>
        <w:vertAlign w:val="baseline"/>
      </w:rPr>
    </w:lvl>
    <w:lvl w:ilvl="2">
      <w:start w:val="1"/>
      <w:numFmt w:val="lowerRoman"/>
      <w:lvlText w:val="%3"/>
      <w:lvlJc w:val="left"/>
      <w:pPr>
        <w:ind w:left="1498" w:firstLine="0"/>
      </w:pPr>
      <w:rPr>
        <w:rFonts w:eastAsia="Arial" w:cs="Arial"/>
        <w:b w:val="0"/>
        <w:i w:val="0"/>
        <w:strike w:val="0"/>
        <w:dstrike w:val="0"/>
        <w:color w:val="000000"/>
        <w:position w:val="0"/>
        <w:sz w:val="20"/>
        <w:szCs w:val="20"/>
        <w:u w:val="none" w:color="000000"/>
        <w:vertAlign w:val="baseline"/>
      </w:rPr>
    </w:lvl>
    <w:lvl w:ilvl="3">
      <w:start w:val="1"/>
      <w:numFmt w:val="decimal"/>
      <w:lvlText w:val="%4"/>
      <w:lvlJc w:val="left"/>
      <w:pPr>
        <w:ind w:left="2218" w:firstLine="0"/>
      </w:pPr>
      <w:rPr>
        <w:rFonts w:eastAsia="Arial" w:cs="Arial"/>
        <w:b w:val="0"/>
        <w:i w:val="0"/>
        <w:strike w:val="0"/>
        <w:dstrike w:val="0"/>
        <w:color w:val="000000"/>
        <w:position w:val="0"/>
        <w:sz w:val="20"/>
        <w:szCs w:val="20"/>
        <w:u w:val="none" w:color="000000"/>
        <w:vertAlign w:val="baseline"/>
      </w:rPr>
    </w:lvl>
    <w:lvl w:ilvl="4">
      <w:start w:val="1"/>
      <w:numFmt w:val="lowerLetter"/>
      <w:lvlText w:val="%5"/>
      <w:lvlJc w:val="left"/>
      <w:pPr>
        <w:ind w:left="2938" w:firstLine="0"/>
      </w:pPr>
      <w:rPr>
        <w:rFonts w:eastAsia="Arial" w:cs="Arial"/>
        <w:b w:val="0"/>
        <w:i w:val="0"/>
        <w:strike w:val="0"/>
        <w:dstrike w:val="0"/>
        <w:color w:val="000000"/>
        <w:position w:val="0"/>
        <w:sz w:val="20"/>
        <w:szCs w:val="20"/>
        <w:u w:val="none" w:color="000000"/>
        <w:vertAlign w:val="baseline"/>
      </w:rPr>
    </w:lvl>
    <w:lvl w:ilvl="5">
      <w:start w:val="1"/>
      <w:numFmt w:val="lowerRoman"/>
      <w:lvlText w:val="%6"/>
      <w:lvlJc w:val="left"/>
      <w:pPr>
        <w:ind w:left="3658" w:firstLine="0"/>
      </w:pPr>
      <w:rPr>
        <w:rFonts w:eastAsia="Arial" w:cs="Arial"/>
        <w:b w:val="0"/>
        <w:i w:val="0"/>
        <w:strike w:val="0"/>
        <w:dstrike w:val="0"/>
        <w:color w:val="000000"/>
        <w:position w:val="0"/>
        <w:sz w:val="20"/>
        <w:szCs w:val="20"/>
        <w:u w:val="none" w:color="000000"/>
        <w:vertAlign w:val="baseline"/>
      </w:rPr>
    </w:lvl>
    <w:lvl w:ilvl="6">
      <w:start w:val="1"/>
      <w:numFmt w:val="decimal"/>
      <w:lvlText w:val="%7"/>
      <w:lvlJc w:val="left"/>
      <w:pPr>
        <w:ind w:left="4378" w:firstLine="0"/>
      </w:pPr>
      <w:rPr>
        <w:rFonts w:eastAsia="Arial" w:cs="Arial"/>
        <w:b w:val="0"/>
        <w:i w:val="0"/>
        <w:strike w:val="0"/>
        <w:dstrike w:val="0"/>
        <w:color w:val="000000"/>
        <w:position w:val="0"/>
        <w:sz w:val="20"/>
        <w:szCs w:val="20"/>
        <w:u w:val="none" w:color="000000"/>
        <w:vertAlign w:val="baseline"/>
      </w:rPr>
    </w:lvl>
    <w:lvl w:ilvl="7">
      <w:start w:val="1"/>
      <w:numFmt w:val="lowerLetter"/>
      <w:lvlText w:val="%8"/>
      <w:lvlJc w:val="left"/>
      <w:pPr>
        <w:ind w:left="5098" w:firstLine="0"/>
      </w:pPr>
      <w:rPr>
        <w:rFonts w:eastAsia="Arial" w:cs="Arial"/>
        <w:b w:val="0"/>
        <w:i w:val="0"/>
        <w:strike w:val="0"/>
        <w:dstrike w:val="0"/>
        <w:color w:val="000000"/>
        <w:position w:val="0"/>
        <w:sz w:val="20"/>
        <w:szCs w:val="20"/>
        <w:u w:val="none" w:color="000000"/>
        <w:vertAlign w:val="baseline"/>
      </w:rPr>
    </w:lvl>
    <w:lvl w:ilvl="8">
      <w:start w:val="1"/>
      <w:numFmt w:val="lowerRoman"/>
      <w:lvlText w:val="%9"/>
      <w:lvlJc w:val="left"/>
      <w:pPr>
        <w:ind w:left="5818" w:firstLine="0"/>
      </w:pPr>
      <w:rPr>
        <w:rFonts w:eastAsia="Arial" w:cs="Arial"/>
        <w:b w:val="0"/>
        <w:i w:val="0"/>
        <w:strike w:val="0"/>
        <w:dstrike w:val="0"/>
        <w:color w:val="000000"/>
        <w:position w:val="0"/>
        <w:sz w:val="20"/>
        <w:szCs w:val="20"/>
        <w:u w:val="none" w:color="000000"/>
        <w:vertAlign w:val="baseline"/>
      </w:rPr>
    </w:lvl>
  </w:abstractNum>
  <w:abstractNum w:abstractNumId="13" w15:restartNumberingAfterBreak="0">
    <w:nsid w:val="6B5F74E0"/>
    <w:multiLevelType w:val="hybridMultilevel"/>
    <w:tmpl w:val="DE90C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D6D47D2"/>
    <w:multiLevelType w:val="multilevel"/>
    <w:tmpl w:val="F3C45D60"/>
    <w:lvl w:ilvl="0">
      <w:start w:val="1"/>
      <w:numFmt w:val="decimal"/>
      <w:lvlText w:val="%1."/>
      <w:lvlJc w:val="center"/>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B371C1"/>
    <w:multiLevelType w:val="multilevel"/>
    <w:tmpl w:val="995C03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7314045A"/>
    <w:multiLevelType w:val="multilevel"/>
    <w:tmpl w:val="4B58D4A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B4C73D9"/>
    <w:multiLevelType w:val="multilevel"/>
    <w:tmpl w:val="528AECE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64691240">
    <w:abstractNumId w:val="1"/>
  </w:num>
  <w:num w:numId="2" w16cid:durableId="885412939">
    <w:abstractNumId w:val="4"/>
  </w:num>
  <w:num w:numId="3" w16cid:durableId="87116954">
    <w:abstractNumId w:val="11"/>
  </w:num>
  <w:num w:numId="4" w16cid:durableId="643509118">
    <w:abstractNumId w:val="5"/>
  </w:num>
  <w:num w:numId="5" w16cid:durableId="262423820">
    <w:abstractNumId w:val="8"/>
  </w:num>
  <w:num w:numId="6" w16cid:durableId="1405756145">
    <w:abstractNumId w:val="2"/>
  </w:num>
  <w:num w:numId="7" w16cid:durableId="80564456">
    <w:abstractNumId w:val="6"/>
  </w:num>
  <w:num w:numId="8" w16cid:durableId="1151168695">
    <w:abstractNumId w:val="14"/>
  </w:num>
  <w:num w:numId="9" w16cid:durableId="583949978">
    <w:abstractNumId w:val="9"/>
  </w:num>
  <w:num w:numId="10" w16cid:durableId="1656908571">
    <w:abstractNumId w:val="12"/>
  </w:num>
  <w:num w:numId="11" w16cid:durableId="1913269920">
    <w:abstractNumId w:val="15"/>
  </w:num>
  <w:num w:numId="12" w16cid:durableId="1154446861">
    <w:abstractNumId w:val="7"/>
  </w:num>
  <w:num w:numId="13" w16cid:durableId="994410300">
    <w:abstractNumId w:val="16"/>
  </w:num>
  <w:num w:numId="14" w16cid:durableId="1604412949">
    <w:abstractNumId w:val="17"/>
  </w:num>
  <w:num w:numId="15" w16cid:durableId="174852807">
    <w:abstractNumId w:val="10"/>
  </w:num>
  <w:num w:numId="16" w16cid:durableId="1205825290">
    <w:abstractNumId w:val="13"/>
  </w:num>
  <w:num w:numId="17" w16cid:durableId="1754862981">
    <w:abstractNumId w:val="0"/>
  </w:num>
  <w:num w:numId="18" w16cid:durableId="5832978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FDE"/>
    <w:rsid w:val="00013EE1"/>
    <w:rsid w:val="00032777"/>
    <w:rsid w:val="000D6760"/>
    <w:rsid w:val="00183530"/>
    <w:rsid w:val="001D3A4B"/>
    <w:rsid w:val="00233508"/>
    <w:rsid w:val="002C0F2A"/>
    <w:rsid w:val="003452C9"/>
    <w:rsid w:val="004064AC"/>
    <w:rsid w:val="0042466C"/>
    <w:rsid w:val="004630A5"/>
    <w:rsid w:val="004941C3"/>
    <w:rsid w:val="00555575"/>
    <w:rsid w:val="00650939"/>
    <w:rsid w:val="00661E4A"/>
    <w:rsid w:val="007831AC"/>
    <w:rsid w:val="00784EDC"/>
    <w:rsid w:val="007A3689"/>
    <w:rsid w:val="008338EC"/>
    <w:rsid w:val="00A64D65"/>
    <w:rsid w:val="00B57154"/>
    <w:rsid w:val="00C7319F"/>
    <w:rsid w:val="00D95932"/>
    <w:rsid w:val="00E17C4A"/>
    <w:rsid w:val="00E220BD"/>
    <w:rsid w:val="00E86575"/>
    <w:rsid w:val="00E95142"/>
    <w:rsid w:val="00F33FDE"/>
    <w:rsid w:val="00F74668"/>
    <w:rsid w:val="00FA5A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7475C3"/>
  <w15:docId w15:val="{781AADC8-7ACC-47E9-AD2C-1EADB9E2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4D44CD"/>
    <w:rPr>
      <w:color w:val="0563C1" w:themeColor="hyperlink"/>
      <w:u w:val="single"/>
    </w:rPr>
  </w:style>
  <w:style w:type="character" w:customStyle="1" w:styleId="Odwiedzoneczeinternetowe">
    <w:name w:val="Odwiedzone łącze internetowe"/>
    <w:basedOn w:val="Domylnaczcionkaakapitu"/>
    <w:uiPriority w:val="99"/>
    <w:semiHidden/>
    <w:unhideWhenUsed/>
    <w:rsid w:val="004D44CD"/>
    <w:rPr>
      <w:color w:val="954F72" w:themeColor="followedHyperlink"/>
      <w:u w:val="single"/>
    </w:rPr>
  </w:style>
  <w:style w:type="character" w:customStyle="1" w:styleId="NagwekZnak">
    <w:name w:val="Nagłówek Znak"/>
    <w:basedOn w:val="Domylnaczcionkaakapitu"/>
    <w:link w:val="Nagwek"/>
    <w:uiPriority w:val="99"/>
    <w:qFormat/>
    <w:rsid w:val="00DF3E90"/>
  </w:style>
  <w:style w:type="character" w:customStyle="1" w:styleId="StopkaZnak">
    <w:name w:val="Stopka Znak"/>
    <w:basedOn w:val="Domylnaczcionkaakapitu"/>
    <w:link w:val="Stopka"/>
    <w:uiPriority w:val="99"/>
    <w:qFormat/>
    <w:rsid w:val="00DF3E90"/>
  </w:style>
  <w:style w:type="character" w:customStyle="1" w:styleId="ZwykytekstZnak">
    <w:name w:val="Zwykły tekst Znak"/>
    <w:basedOn w:val="Domylnaczcionkaakapitu"/>
    <w:link w:val="Zwykytekst"/>
    <w:qFormat/>
    <w:rsid w:val="00A2593F"/>
    <w:rPr>
      <w:rFonts w:ascii="Times New Roman" w:eastAsia="Calibri" w:hAnsi="Times New Roman" w:cs="Times New Roman"/>
      <w:sz w:val="20"/>
      <w:szCs w:val="20"/>
      <w:lang w:eastAsia="pl-PL"/>
    </w:rPr>
  </w:style>
  <w:style w:type="character" w:styleId="Odwoaniedokomentarza">
    <w:name w:val="annotation reference"/>
    <w:basedOn w:val="Domylnaczcionkaakapitu"/>
    <w:uiPriority w:val="99"/>
    <w:semiHidden/>
    <w:unhideWhenUsed/>
    <w:qFormat/>
    <w:rsid w:val="00F86221"/>
    <w:rPr>
      <w:sz w:val="16"/>
      <w:szCs w:val="16"/>
    </w:rPr>
  </w:style>
  <w:style w:type="character" w:customStyle="1" w:styleId="TekstkomentarzaZnak">
    <w:name w:val="Tekst komentarza Znak"/>
    <w:basedOn w:val="Domylnaczcionkaakapitu"/>
    <w:link w:val="Tekstkomentarza"/>
    <w:uiPriority w:val="99"/>
    <w:qFormat/>
    <w:rsid w:val="00F86221"/>
    <w:rPr>
      <w:sz w:val="20"/>
      <w:szCs w:val="20"/>
    </w:rPr>
  </w:style>
  <w:style w:type="character" w:customStyle="1" w:styleId="TematkomentarzaZnak">
    <w:name w:val="Temat komentarza Znak"/>
    <w:basedOn w:val="TekstkomentarzaZnak"/>
    <w:link w:val="Tematkomentarza"/>
    <w:uiPriority w:val="99"/>
    <w:semiHidden/>
    <w:qFormat/>
    <w:rsid w:val="00F86221"/>
    <w:rPr>
      <w:b/>
      <w:bCs/>
      <w:sz w:val="20"/>
      <w:szCs w:val="20"/>
    </w:rPr>
  </w:style>
  <w:style w:type="character" w:customStyle="1" w:styleId="TekstdymkaZnak">
    <w:name w:val="Tekst dymka Znak"/>
    <w:basedOn w:val="Domylnaczcionkaakapitu"/>
    <w:link w:val="Tekstdymka"/>
    <w:uiPriority w:val="99"/>
    <w:semiHidden/>
    <w:qFormat/>
    <w:rsid w:val="00F86221"/>
    <w:rPr>
      <w:rFonts w:ascii="Segoe UI" w:hAnsi="Segoe UI" w:cs="Segoe UI"/>
      <w:sz w:val="18"/>
      <w:szCs w:val="18"/>
    </w:rPr>
  </w:style>
  <w:style w:type="character" w:customStyle="1" w:styleId="Teksttreci3Exact">
    <w:name w:val="Tekst treści (3) Exact"/>
    <w:basedOn w:val="Domylnaczcionkaakapitu"/>
    <w:link w:val="Teksttreci3"/>
    <w:uiPriority w:val="99"/>
    <w:qFormat/>
    <w:rsid w:val="0088265E"/>
    <w:rPr>
      <w:rFonts w:ascii="Arial" w:hAnsi="Arial" w:cs="Arial"/>
      <w:spacing w:val="-20"/>
      <w:sz w:val="19"/>
      <w:szCs w:val="19"/>
      <w:shd w:val="clear" w:color="auto" w:fill="FFFFFF"/>
    </w:rPr>
  </w:style>
  <w:style w:type="character" w:customStyle="1" w:styleId="Teksttreci329pt">
    <w:name w:val="Tekst treści (3) + 29 pt"/>
    <w:basedOn w:val="Teksttreci3Exact"/>
    <w:uiPriority w:val="99"/>
    <w:qFormat/>
    <w:rsid w:val="0088265E"/>
    <w:rPr>
      <w:rFonts w:ascii="Arial" w:hAnsi="Arial" w:cs="Arial"/>
      <w:i/>
      <w:iCs/>
      <w:color w:val="3A4777"/>
      <w:spacing w:val="0"/>
      <w:sz w:val="58"/>
      <w:szCs w:val="58"/>
      <w:shd w:val="clear" w:color="auto" w:fill="FFFFFF"/>
    </w:rPr>
  </w:style>
  <w:style w:type="character" w:customStyle="1" w:styleId="Teksttreci3Exact1">
    <w:name w:val="Tekst treści (3) Exact1"/>
    <w:basedOn w:val="Teksttreci3Exact"/>
    <w:uiPriority w:val="99"/>
    <w:qFormat/>
    <w:rsid w:val="0088265E"/>
    <w:rPr>
      <w:rFonts w:ascii="Arial" w:hAnsi="Arial" w:cs="Arial"/>
      <w:color w:val="3A4777"/>
      <w:spacing w:val="-20"/>
      <w:sz w:val="19"/>
      <w:szCs w:val="19"/>
      <w:shd w:val="clear" w:color="auto" w:fill="FFFFFF"/>
    </w:rPr>
  </w:style>
  <w:style w:type="character" w:customStyle="1" w:styleId="Teksttreci">
    <w:name w:val="Tekst treści_"/>
    <w:basedOn w:val="Domylnaczcionkaakapitu"/>
    <w:link w:val="Teksttreci1"/>
    <w:uiPriority w:val="99"/>
    <w:qFormat/>
    <w:rsid w:val="0088265E"/>
    <w:rPr>
      <w:rFonts w:ascii="Arial" w:hAnsi="Arial" w:cs="Arial"/>
      <w:sz w:val="18"/>
      <w:szCs w:val="18"/>
      <w:shd w:val="clear" w:color="auto" w:fill="FFFFFF"/>
    </w:rPr>
  </w:style>
  <w:style w:type="paragraph" w:styleId="Nagwek">
    <w:name w:val="header"/>
    <w:basedOn w:val="Normalny"/>
    <w:next w:val="Tekstpodstawowy"/>
    <w:link w:val="NagwekZnak"/>
    <w:uiPriority w:val="99"/>
    <w:unhideWhenUsed/>
    <w:rsid w:val="00DF3E90"/>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C311D"/>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DF3E90"/>
    <w:pPr>
      <w:tabs>
        <w:tab w:val="center" w:pos="4536"/>
        <w:tab w:val="right" w:pos="9072"/>
      </w:tabs>
      <w:spacing w:after="0" w:line="240" w:lineRule="auto"/>
    </w:pPr>
  </w:style>
  <w:style w:type="paragraph" w:styleId="Zwykytekst">
    <w:name w:val="Plain Text"/>
    <w:basedOn w:val="Normalny"/>
    <w:link w:val="ZwykytekstZnak"/>
    <w:qFormat/>
    <w:rsid w:val="00A2593F"/>
    <w:pPr>
      <w:spacing w:after="0" w:line="240" w:lineRule="auto"/>
    </w:pPr>
    <w:rPr>
      <w:rFonts w:ascii="Times New Roman" w:eastAsia="Calibri" w:hAnsi="Times New Roman" w:cs="Times New Roman"/>
      <w:sz w:val="20"/>
      <w:szCs w:val="20"/>
      <w:lang w:eastAsia="pl-PL"/>
    </w:rPr>
  </w:style>
  <w:style w:type="paragraph" w:styleId="Tekstkomentarza">
    <w:name w:val="annotation text"/>
    <w:basedOn w:val="Normalny"/>
    <w:link w:val="TekstkomentarzaZnak"/>
    <w:uiPriority w:val="99"/>
    <w:unhideWhenUsed/>
    <w:qFormat/>
    <w:rsid w:val="00F86221"/>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86221"/>
    <w:rPr>
      <w:b/>
      <w:bCs/>
    </w:rPr>
  </w:style>
  <w:style w:type="paragraph" w:styleId="Tekstdymka">
    <w:name w:val="Balloon Text"/>
    <w:basedOn w:val="Normalny"/>
    <w:link w:val="TekstdymkaZnak"/>
    <w:uiPriority w:val="99"/>
    <w:semiHidden/>
    <w:unhideWhenUsed/>
    <w:qFormat/>
    <w:rsid w:val="00F86221"/>
    <w:pPr>
      <w:spacing w:after="0" w:line="240" w:lineRule="auto"/>
    </w:pPr>
    <w:rPr>
      <w:rFonts w:ascii="Segoe UI" w:hAnsi="Segoe UI" w:cs="Segoe UI"/>
      <w:sz w:val="18"/>
      <w:szCs w:val="18"/>
    </w:rPr>
  </w:style>
  <w:style w:type="paragraph" w:customStyle="1" w:styleId="Teksttreci3">
    <w:name w:val="Tekst treści (3)"/>
    <w:basedOn w:val="Normalny"/>
    <w:link w:val="Teksttreci3Exact"/>
    <w:uiPriority w:val="99"/>
    <w:qFormat/>
    <w:rsid w:val="0088265E"/>
    <w:pPr>
      <w:widowControl w:val="0"/>
      <w:shd w:val="clear" w:color="auto" w:fill="FFFFFF"/>
      <w:spacing w:after="0" w:line="240" w:lineRule="atLeast"/>
    </w:pPr>
    <w:rPr>
      <w:rFonts w:ascii="Arial" w:hAnsi="Arial" w:cs="Arial"/>
      <w:spacing w:val="-20"/>
      <w:sz w:val="19"/>
      <w:szCs w:val="19"/>
    </w:rPr>
  </w:style>
  <w:style w:type="paragraph" w:customStyle="1" w:styleId="Teksttreci1">
    <w:name w:val="Tekst treści1"/>
    <w:basedOn w:val="Normalny"/>
    <w:link w:val="Teksttreci"/>
    <w:uiPriority w:val="99"/>
    <w:qFormat/>
    <w:rsid w:val="0088265E"/>
    <w:pPr>
      <w:widowControl w:val="0"/>
      <w:shd w:val="clear" w:color="auto" w:fill="FFFFFF"/>
      <w:spacing w:after="0" w:line="221" w:lineRule="exact"/>
      <w:ind w:hanging="360"/>
    </w:pPr>
    <w:rPr>
      <w:rFonts w:ascii="Arial" w:hAnsi="Arial" w:cs="Arial"/>
      <w:sz w:val="18"/>
      <w:szCs w:val="18"/>
    </w:rPr>
  </w:style>
  <w:style w:type="paragraph" w:customStyle="1" w:styleId="Kontrakt2">
    <w:name w:val="Kontrakt 2"/>
    <w:basedOn w:val="Normalny"/>
    <w:uiPriority w:val="99"/>
    <w:qFormat/>
    <w:rsid w:val="00FA7411"/>
    <w:pPr>
      <w:spacing w:before="80" w:after="240" w:line="276" w:lineRule="auto"/>
      <w:jc w:val="both"/>
    </w:pPr>
    <w:rPr>
      <w:rFonts w:ascii="Arial" w:hAnsi="Arial" w:cs="Arial"/>
    </w:rPr>
  </w:style>
  <w:style w:type="paragraph" w:customStyle="1" w:styleId="Kontrakt1">
    <w:name w:val="Kontrakt 1"/>
    <w:basedOn w:val="Normalny"/>
    <w:uiPriority w:val="99"/>
    <w:qFormat/>
    <w:rsid w:val="00FA7411"/>
    <w:pPr>
      <w:pageBreakBefore/>
      <w:spacing w:before="120" w:after="360" w:line="276" w:lineRule="auto"/>
      <w:jc w:val="center"/>
    </w:pPr>
    <w:rPr>
      <w:rFonts w:ascii="Arial" w:hAnsi="Arial" w:cs="Arial"/>
      <w:b/>
      <w:bCs/>
      <w:sz w:val="28"/>
      <w:szCs w:val="28"/>
    </w:rPr>
  </w:style>
  <w:style w:type="paragraph" w:customStyle="1" w:styleId="Kontrakt3">
    <w:name w:val="Kontrakt 3"/>
    <w:basedOn w:val="Normalny"/>
    <w:uiPriority w:val="99"/>
    <w:qFormat/>
    <w:rsid w:val="00FA7411"/>
    <w:pPr>
      <w:spacing w:before="80" w:after="240" w:line="276" w:lineRule="auto"/>
      <w:jc w:val="both"/>
    </w:pPr>
    <w:rPr>
      <w:rFonts w:ascii="Arial" w:hAnsi="Arial" w:cs="Arial"/>
    </w:rPr>
  </w:style>
  <w:style w:type="paragraph" w:customStyle="1" w:styleId="Kontrakt4">
    <w:name w:val="Kontrakt 4"/>
    <w:basedOn w:val="Normalny"/>
    <w:uiPriority w:val="99"/>
    <w:qFormat/>
    <w:rsid w:val="00FA7411"/>
    <w:pPr>
      <w:spacing w:before="80" w:after="240" w:line="276" w:lineRule="auto"/>
      <w:jc w:val="both"/>
    </w:pPr>
    <w:rPr>
      <w:rFonts w:ascii="Arial" w:hAnsi="Arial" w:cs="Arial"/>
    </w:rPr>
  </w:style>
  <w:style w:type="paragraph" w:customStyle="1" w:styleId="Kontrakt5">
    <w:name w:val="Kontrakt 5"/>
    <w:basedOn w:val="Normalny"/>
    <w:uiPriority w:val="99"/>
    <w:qFormat/>
    <w:rsid w:val="00FA7411"/>
    <w:pPr>
      <w:spacing w:before="60" w:after="60" w:line="276" w:lineRule="auto"/>
      <w:jc w:val="both"/>
    </w:pPr>
    <w:rPr>
      <w:rFonts w:ascii="Arial" w:hAnsi="Arial" w:cs="Arial"/>
    </w:rPr>
  </w:style>
  <w:style w:type="paragraph" w:customStyle="1" w:styleId="Kontrakt6">
    <w:name w:val="Kontrakt 6"/>
    <w:basedOn w:val="Normalny"/>
    <w:uiPriority w:val="99"/>
    <w:qFormat/>
    <w:rsid w:val="00FA7411"/>
    <w:pPr>
      <w:spacing w:before="60" w:after="60" w:line="276" w:lineRule="auto"/>
      <w:jc w:val="both"/>
    </w:pPr>
    <w:rPr>
      <w:rFonts w:ascii="Arial" w:hAnsi="Arial" w:cs="Arial"/>
    </w:rPr>
  </w:style>
  <w:style w:type="paragraph" w:customStyle="1" w:styleId="Kontrakt7">
    <w:name w:val="Kontrakt 7"/>
    <w:basedOn w:val="Normalny"/>
    <w:uiPriority w:val="99"/>
    <w:qFormat/>
    <w:rsid w:val="00FA7411"/>
    <w:pPr>
      <w:spacing w:before="60" w:after="60" w:line="276" w:lineRule="auto"/>
      <w:jc w:val="both"/>
    </w:pPr>
    <w:rPr>
      <w:rFonts w:ascii="Arial" w:hAnsi="Arial" w:cs="Arial"/>
    </w:rPr>
  </w:style>
  <w:style w:type="paragraph" w:customStyle="1" w:styleId="Kontrakt8">
    <w:name w:val="Kontrakt 8"/>
    <w:basedOn w:val="Normalny"/>
    <w:uiPriority w:val="99"/>
    <w:qFormat/>
    <w:rsid w:val="00FA7411"/>
    <w:pPr>
      <w:spacing w:before="60" w:after="60" w:line="276" w:lineRule="auto"/>
      <w:jc w:val="both"/>
    </w:pPr>
    <w:rPr>
      <w:rFonts w:ascii="Arial" w:hAnsi="Arial" w:cs="Arial"/>
    </w:rPr>
  </w:style>
  <w:style w:type="paragraph" w:customStyle="1" w:styleId="Kontrakt9">
    <w:name w:val="Kontrakt 9"/>
    <w:basedOn w:val="Normalny"/>
    <w:uiPriority w:val="99"/>
    <w:qFormat/>
    <w:rsid w:val="00FA7411"/>
    <w:pPr>
      <w:spacing w:before="60" w:after="60" w:line="276" w:lineRule="auto"/>
      <w:jc w:val="both"/>
    </w:pPr>
    <w:rPr>
      <w:rFonts w:ascii="Arial" w:hAnsi="Arial" w:cs="Arial"/>
    </w:rPr>
  </w:style>
  <w:style w:type="table" w:styleId="Tabela-Siatka">
    <w:name w:val="Table Grid"/>
    <w:basedOn w:val="Standardowy"/>
    <w:uiPriority w:val="39"/>
    <w:rsid w:val="007711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64D65"/>
    <w:rPr>
      <w:color w:val="0563C1" w:themeColor="hyperlink"/>
      <w:u w:val="single"/>
    </w:rPr>
  </w:style>
  <w:style w:type="character" w:styleId="Nierozpoznanawzmianka">
    <w:name w:val="Unresolved Mention"/>
    <w:basedOn w:val="Domylnaczcionkaakapitu"/>
    <w:uiPriority w:val="99"/>
    <w:semiHidden/>
    <w:unhideWhenUsed/>
    <w:rsid w:val="00A64D65"/>
    <w:rPr>
      <w:color w:val="605E5C"/>
      <w:shd w:val="clear" w:color="auto" w:fill="E1DFDD"/>
    </w:rPr>
  </w:style>
  <w:style w:type="paragraph" w:customStyle="1" w:styleId="Default">
    <w:name w:val="Default"/>
    <w:rsid w:val="00555575"/>
    <w:pPr>
      <w:suppressAutoHyphens w:val="0"/>
      <w:autoSpaceDE w:val="0"/>
      <w:autoSpaceDN w:val="0"/>
      <w:adjustRightInd w:val="0"/>
    </w:pPr>
    <w:rPr>
      <w:rFonts w:ascii="Arial" w:hAnsi="Arial" w:cs="Arial"/>
      <w:color w:val="000000"/>
      <w:sz w:val="24"/>
      <w:szCs w:val="24"/>
    </w:rPr>
  </w:style>
  <w:style w:type="paragraph" w:styleId="Poprawka">
    <w:name w:val="Revision"/>
    <w:hidden/>
    <w:uiPriority w:val="99"/>
    <w:semiHidden/>
    <w:rsid w:val="00784EDC"/>
    <w:pPr>
      <w:suppressAutoHyphens w:val="0"/>
    </w:pPr>
    <w:rPr>
      <w:sz w:val="22"/>
    </w:r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locked/>
    <w:rsid w:val="00661E4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ubezpieczenia@termika.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A7A3E-C30D-4D89-B386-ED929B8B1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3863</Words>
  <Characters>23184</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Patryk Welnicki</dc:creator>
  <dc:description/>
  <cp:lastModifiedBy>Biskup Adrian</cp:lastModifiedBy>
  <cp:revision>15</cp:revision>
  <cp:lastPrinted>2023-07-21T04:11:00Z</cp:lastPrinted>
  <dcterms:created xsi:type="dcterms:W3CDTF">2023-07-21T08:37:00Z</dcterms:created>
  <dcterms:modified xsi:type="dcterms:W3CDTF">2025-05-08T05:50:00Z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SIP_Label_e20eee59-e4e0-4a8d-90cf-d81fae0f4231_ActionId">
    <vt:lpwstr>64cd038c-cb6f-4fbc-8100-43b1b14152b6</vt:lpwstr>
  </property>
  <property fmtid="{D5CDD505-2E9C-101B-9397-08002B2CF9AE}" pid="7" name="MSIP_Label_e20eee59-e4e0-4a8d-90cf-d81fae0f4231_ContentBits">
    <vt:lpwstr>0</vt:lpwstr>
  </property>
  <property fmtid="{D5CDD505-2E9C-101B-9397-08002B2CF9AE}" pid="8" name="MSIP_Label_e20eee59-e4e0-4a8d-90cf-d81fae0f4231_Enabled">
    <vt:lpwstr>true</vt:lpwstr>
  </property>
  <property fmtid="{D5CDD505-2E9C-101B-9397-08002B2CF9AE}" pid="9" name="MSIP_Label_e20eee59-e4e0-4a8d-90cf-d81fae0f4231_Method">
    <vt:lpwstr>Standard</vt:lpwstr>
  </property>
  <property fmtid="{D5CDD505-2E9C-101B-9397-08002B2CF9AE}" pid="10" name="MSIP_Label_e20eee59-e4e0-4a8d-90cf-d81fae0f4231_Name">
    <vt:lpwstr>Ogólna</vt:lpwstr>
  </property>
  <property fmtid="{D5CDD505-2E9C-101B-9397-08002B2CF9AE}" pid="11" name="MSIP_Label_e20eee59-e4e0-4a8d-90cf-d81fae0f4231_SetDate">
    <vt:lpwstr>2021-08-26T11:37:38Z</vt:lpwstr>
  </property>
  <property fmtid="{D5CDD505-2E9C-101B-9397-08002B2CF9AE}" pid="12" name="MSIP_Label_e20eee59-e4e0-4a8d-90cf-d81fae0f4231_SiteId">
    <vt:lpwstr>3e4cfd5a-58d7-4158-af8b-3cc59d2bc964</vt:lpwstr>
  </property>
  <property fmtid="{D5CDD505-2E9C-101B-9397-08002B2CF9AE}" pid="13" name="PGNiGPropCATEGORY">
    <vt:lpwstr>INTERNAL</vt:lpwstr>
  </property>
  <property fmtid="{D5CDD505-2E9C-101B-9397-08002B2CF9AE}" pid="14" name="PGNiGPropClassificationDate">
    <vt:lpwstr>2019-03-29T08:24:57.0322115+01:00</vt:lpwstr>
  </property>
  <property fmtid="{D5CDD505-2E9C-101B-9397-08002B2CF9AE}" pid="15" name="PGNiGPropClassifiedBy">
    <vt:lpwstr>PGN\michniewicza;Michniewicz Albert</vt:lpwstr>
  </property>
  <property fmtid="{D5CDD505-2E9C-101B-9397-08002B2CF9AE}" pid="16" name="PGNiGPropClassifiedBySID">
    <vt:lpwstr>PGN\S-1-5-21-598374877-3510193396-1329057556-3871</vt:lpwstr>
  </property>
  <property fmtid="{D5CDD505-2E9C-101B-9397-08002B2CF9AE}" pid="17" name="PGNiGPropGRNItemId">
    <vt:lpwstr>GRN-63047a5b-ffa9-4d57-a50e-2a6eed536b82</vt:lpwstr>
  </property>
  <property fmtid="{D5CDD505-2E9C-101B-9397-08002B2CF9AE}" pid="18" name="PGNiGPropRefresh">
    <vt:lpwstr>False</vt:lpwstr>
  </property>
  <property fmtid="{D5CDD505-2E9C-101B-9397-08002B2CF9AE}" pid="19" name="ScaleCrop">
    <vt:bool>false</vt:bool>
  </property>
  <property fmtid="{D5CDD505-2E9C-101B-9397-08002B2CF9AE}" pid="20" name="ShareDoc">
    <vt:bool>false</vt:bool>
  </property>
</Properties>
</file>